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66351" w14:textId="3F0843CE" w:rsidR="00D50D76" w:rsidRPr="004E2503" w:rsidRDefault="00D50D76" w:rsidP="004E2503">
      <w:pPr>
        <w:pStyle w:val="TOC1"/>
        <w:tabs>
          <w:tab w:val="right" w:leader="dot" w:pos="8591"/>
        </w:tabs>
        <w:spacing w:before="120" w:line="360" w:lineRule="exact"/>
        <w:rPr>
          <w:rFonts w:ascii="Arial" w:hAnsi="Arial" w:cs="Arial"/>
          <w:b/>
          <w:bCs/>
          <w:color w:val="2E74B5" w:themeColor="accent1" w:themeShade="BF"/>
          <w:sz w:val="28"/>
          <w:szCs w:val="28"/>
          <w:lang w:val="es-CR"/>
        </w:rPr>
      </w:pPr>
      <w:bookmarkStart w:id="0" w:name="_GoBack"/>
      <w:r w:rsidRPr="004E2503">
        <w:rPr>
          <w:rFonts w:ascii="Arial" w:hAnsi="Arial" w:cs="Arial"/>
          <w:b/>
          <w:bCs/>
          <w:color w:val="2E74B5" w:themeColor="accent1" w:themeShade="BF"/>
          <w:sz w:val="28"/>
          <w:szCs w:val="28"/>
          <w:lang w:val="es-CR"/>
        </w:rPr>
        <w:t>Guía para la definición de problemáticas que afectan</w:t>
      </w:r>
      <w:r w:rsidRPr="004E2503">
        <w:rPr>
          <w:rFonts w:ascii="Arial" w:hAnsi="Arial" w:cs="Arial"/>
          <w:b/>
          <w:bCs/>
          <w:color w:val="2E74B5" w:themeColor="accent1" w:themeShade="BF"/>
          <w:sz w:val="28"/>
          <w:szCs w:val="28"/>
          <w:lang w:val="es-CR"/>
        </w:rPr>
        <w:br/>
        <w:t>a los niños, niñas y adolescentes del cantón</w:t>
      </w:r>
    </w:p>
    <w:bookmarkEnd w:id="0"/>
    <w:p w14:paraId="3B1E1153" w14:textId="7F21AE4C" w:rsidR="004E2503" w:rsidRPr="004E2503" w:rsidRDefault="004E2503" w:rsidP="004E2503">
      <w:pPr>
        <w:jc w:val="center"/>
        <w:rPr>
          <w:lang w:val="es-CR"/>
        </w:rPr>
      </w:pPr>
      <w:r w:rsidRPr="004E2503">
        <w:rPr>
          <w:noProof/>
          <w:lang w:val="es-CR"/>
        </w:rPr>
        <w:drawing>
          <wp:inline distT="0" distB="0" distL="0" distR="0" wp14:anchorId="4A289671" wp14:editId="71810519">
            <wp:extent cx="1313742" cy="10477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sset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207" cy="1063274"/>
                    </a:xfrm>
                    <a:prstGeom prst="rect">
                      <a:avLst/>
                    </a:prstGeom>
                  </pic:spPr>
                </pic:pic>
              </a:graphicData>
            </a:graphic>
          </wp:inline>
        </w:drawing>
      </w:r>
    </w:p>
    <w:p w14:paraId="20BCC37D" w14:textId="77777777" w:rsidR="00D50D76" w:rsidRPr="004E2503" w:rsidRDefault="00D50D76" w:rsidP="00D50D76">
      <w:pPr>
        <w:spacing w:before="480" w:line="380" w:lineRule="exact"/>
        <w:jc w:val="both"/>
        <w:rPr>
          <w:rFonts w:ascii="Arial" w:hAnsi="Arial" w:cs="Arial"/>
          <w:sz w:val="22"/>
          <w:lang w:val="es-CR"/>
        </w:rPr>
      </w:pPr>
      <w:r w:rsidRPr="004E2503">
        <w:rPr>
          <w:rFonts w:ascii="Arial" w:hAnsi="Arial" w:cs="Arial"/>
          <w:sz w:val="22"/>
          <w:lang w:val="es-CR"/>
        </w:rPr>
        <w:t>Para la definición de las problemáticas que afectan a los niños, niñas y adolescentes del cantón el punto de partida supone cumplir con los siguientes pasos:</w:t>
      </w:r>
    </w:p>
    <w:p w14:paraId="04A45A92" w14:textId="77777777" w:rsidR="00D50D76" w:rsidRPr="004E2503" w:rsidRDefault="00D50D76" w:rsidP="00D50D76">
      <w:pPr>
        <w:numPr>
          <w:ilvl w:val="0"/>
          <w:numId w:val="1"/>
        </w:numPr>
        <w:spacing w:before="120" w:line="380" w:lineRule="exact"/>
        <w:jc w:val="both"/>
        <w:rPr>
          <w:rFonts w:ascii="Arial" w:hAnsi="Arial" w:cs="Arial"/>
          <w:sz w:val="22"/>
          <w:lang w:val="es-CR"/>
        </w:rPr>
      </w:pPr>
      <w:r w:rsidRPr="004E2503">
        <w:rPr>
          <w:rFonts w:ascii="Arial" w:hAnsi="Arial" w:cs="Arial"/>
          <w:sz w:val="22"/>
          <w:lang w:val="es-CR"/>
        </w:rPr>
        <w:t>Conocer la situación de la niñez y adolescencia en el cantón, es decir, tener un diagnóstico actualizado sobre la materia.</w:t>
      </w:r>
    </w:p>
    <w:p w14:paraId="30334372" w14:textId="77777777" w:rsidR="00D50D76" w:rsidRPr="004E2503" w:rsidRDefault="00D50D76" w:rsidP="00D50D76">
      <w:pPr>
        <w:numPr>
          <w:ilvl w:val="0"/>
          <w:numId w:val="1"/>
        </w:numPr>
        <w:spacing w:before="120" w:line="380" w:lineRule="exact"/>
        <w:jc w:val="both"/>
        <w:rPr>
          <w:rFonts w:ascii="Arial" w:hAnsi="Arial" w:cs="Arial"/>
          <w:sz w:val="22"/>
          <w:lang w:val="es-CR"/>
        </w:rPr>
      </w:pPr>
      <w:r w:rsidRPr="004E2503">
        <w:rPr>
          <w:rFonts w:ascii="Arial" w:hAnsi="Arial" w:cs="Arial"/>
          <w:sz w:val="22"/>
          <w:lang w:val="es-CR"/>
        </w:rPr>
        <w:t>Revisar y sistematizar la información sobre las problemáticas nacionales de la niñez y adolescencia en los documentos pertinentes. Se recomienda que al menos se consideren los siguientes:</w:t>
      </w:r>
    </w:p>
    <w:p w14:paraId="39AF2CEE" w14:textId="77777777" w:rsidR="00D50D76" w:rsidRPr="004E2503" w:rsidRDefault="004E2503" w:rsidP="00D50D76">
      <w:pPr>
        <w:numPr>
          <w:ilvl w:val="0"/>
          <w:numId w:val="2"/>
        </w:numPr>
        <w:spacing w:before="120" w:after="120" w:line="380" w:lineRule="exact"/>
        <w:ind w:left="799" w:hanging="425"/>
        <w:jc w:val="both"/>
        <w:rPr>
          <w:rFonts w:ascii="Arial" w:hAnsi="Arial" w:cs="Arial"/>
          <w:sz w:val="22"/>
          <w:szCs w:val="22"/>
          <w:lang w:val="es-CR" w:eastAsia="fr-BE"/>
        </w:rPr>
      </w:pPr>
      <w:hyperlink r:id="rId6" w:history="1">
        <w:r w:rsidR="00D50D76" w:rsidRPr="004E2503">
          <w:rPr>
            <w:rStyle w:val="Hyperlink"/>
            <w:rFonts w:ascii="Arial" w:hAnsi="Arial" w:cs="Arial"/>
            <w:sz w:val="22"/>
            <w:lang w:val="es-CR"/>
          </w:rPr>
          <w:t>Política Nacional para la Niñez y Adolescencia Costa Rica 2009-2021</w:t>
        </w:r>
      </w:hyperlink>
      <w:r w:rsidR="00D50D76" w:rsidRPr="004E2503">
        <w:rPr>
          <w:rFonts w:ascii="Arial" w:hAnsi="Arial" w:cs="Arial"/>
          <w:sz w:val="22"/>
          <w:szCs w:val="22"/>
          <w:lang w:val="es-CR" w:eastAsia="fr-BE"/>
        </w:rPr>
        <w:t xml:space="preserve"> (Patronato Nacional de la Infancia/Consejo Nacional de Niñez y Adolescencia/MIDEPLAN, 2009).</w:t>
      </w:r>
    </w:p>
    <w:p w14:paraId="105B6900" w14:textId="77777777" w:rsidR="00D50D76" w:rsidRPr="004E2503" w:rsidRDefault="004E2503" w:rsidP="00D50D76">
      <w:pPr>
        <w:numPr>
          <w:ilvl w:val="0"/>
          <w:numId w:val="2"/>
        </w:numPr>
        <w:spacing w:before="120" w:after="120" w:line="380" w:lineRule="exact"/>
        <w:ind w:left="799" w:hanging="425"/>
        <w:jc w:val="both"/>
        <w:rPr>
          <w:rFonts w:ascii="Arial" w:hAnsi="Arial" w:cs="Arial"/>
          <w:sz w:val="22"/>
          <w:lang w:val="es-CR" w:eastAsia="fr-BE"/>
        </w:rPr>
      </w:pPr>
      <w:hyperlink r:id="rId7" w:history="1">
        <w:r w:rsidR="00D50D76" w:rsidRPr="004E2503">
          <w:rPr>
            <w:rStyle w:val="Hyperlink"/>
            <w:rFonts w:ascii="Arial" w:hAnsi="Arial" w:cs="Arial"/>
            <w:sz w:val="22"/>
            <w:lang w:val="es-CR"/>
          </w:rPr>
          <w:t>Agenda Nacional de Niñez y Adolescencia (Metas y compromisos 2015-2021)</w:t>
        </w:r>
      </w:hyperlink>
      <w:r w:rsidR="00D50D76" w:rsidRPr="004E2503">
        <w:rPr>
          <w:rFonts w:ascii="Arial" w:hAnsi="Arial" w:cs="Arial"/>
          <w:i/>
          <w:iCs/>
          <w:sz w:val="22"/>
          <w:szCs w:val="22"/>
          <w:lang w:val="es-CR" w:eastAsia="fr-BE"/>
        </w:rPr>
        <w:t xml:space="preserve"> </w:t>
      </w:r>
      <w:r w:rsidR="00D50D76" w:rsidRPr="004E2503">
        <w:rPr>
          <w:rFonts w:ascii="Arial" w:hAnsi="Arial" w:cs="Arial"/>
          <w:sz w:val="22"/>
          <w:szCs w:val="22"/>
          <w:lang w:val="es-CR" w:eastAsia="fr-BE"/>
        </w:rPr>
        <w:t>(Consejo Nacional de Niñez y Adolescencia/UNICEF, 2015)</w:t>
      </w:r>
      <w:r w:rsidR="00D50D76" w:rsidRPr="004E2503">
        <w:rPr>
          <w:rFonts w:ascii="Arial" w:hAnsi="Arial" w:cs="Arial"/>
          <w:sz w:val="22"/>
          <w:lang w:val="es-CR"/>
        </w:rPr>
        <w:t>.</w:t>
      </w:r>
    </w:p>
    <w:p w14:paraId="1DD7E3DE" w14:textId="77777777" w:rsidR="00D50D76" w:rsidRPr="004E2503" w:rsidRDefault="004E2503" w:rsidP="00D50D76">
      <w:pPr>
        <w:numPr>
          <w:ilvl w:val="0"/>
          <w:numId w:val="2"/>
        </w:numPr>
        <w:spacing w:before="120" w:after="120" w:line="380" w:lineRule="exact"/>
        <w:ind w:left="799" w:hanging="425"/>
        <w:jc w:val="both"/>
        <w:rPr>
          <w:rFonts w:ascii="Arial" w:hAnsi="Arial" w:cs="Arial"/>
          <w:sz w:val="22"/>
          <w:lang w:val="es-CR" w:eastAsia="fr-BE"/>
        </w:rPr>
      </w:pPr>
      <w:hyperlink r:id="rId8" w:history="1">
        <w:r w:rsidR="00D50D76" w:rsidRPr="004E2503">
          <w:rPr>
            <w:rStyle w:val="Hyperlink"/>
            <w:rFonts w:ascii="Arial" w:hAnsi="Arial" w:cs="Arial"/>
            <w:sz w:val="22"/>
            <w:lang w:val="es-CR"/>
          </w:rPr>
          <w:t>Plan Nacional para el Desarrollo de Estrategias de Prevención y Erradicación de la Violencia Contra Niños, Niñas y Adolescentes Costa Rica 2017-2019</w:t>
        </w:r>
      </w:hyperlink>
      <w:r w:rsidR="00D50D76" w:rsidRPr="004E2503">
        <w:rPr>
          <w:rFonts w:ascii="Arial" w:hAnsi="Arial" w:cs="Arial"/>
          <w:sz w:val="22"/>
          <w:szCs w:val="22"/>
          <w:lang w:val="es-CR" w:eastAsia="fr-BE"/>
        </w:rPr>
        <w:t xml:space="preserve"> (Consejo Nacional de Niñez y Adolescencia/Patronato Nacional de la Infancia/UNICEF, 2017)</w:t>
      </w:r>
      <w:r w:rsidR="00D50D76" w:rsidRPr="004E2503">
        <w:rPr>
          <w:rFonts w:ascii="Arial" w:hAnsi="Arial" w:cs="Arial"/>
          <w:sz w:val="22"/>
          <w:lang w:val="es-CR"/>
        </w:rPr>
        <w:t>.</w:t>
      </w:r>
    </w:p>
    <w:p w14:paraId="7E4D7E55" w14:textId="77777777" w:rsidR="00D50D76" w:rsidRPr="004E2503" w:rsidRDefault="004E2503" w:rsidP="00D50D76">
      <w:pPr>
        <w:numPr>
          <w:ilvl w:val="0"/>
          <w:numId w:val="2"/>
        </w:numPr>
        <w:spacing w:before="120" w:after="120" w:line="380" w:lineRule="exact"/>
        <w:ind w:left="799" w:hanging="425"/>
        <w:jc w:val="both"/>
        <w:rPr>
          <w:rFonts w:ascii="Arial" w:hAnsi="Arial" w:cs="Arial"/>
          <w:sz w:val="22"/>
          <w:lang w:val="es-CR"/>
        </w:rPr>
      </w:pPr>
      <w:hyperlink r:id="rId9" w:history="1">
        <w:r w:rsidR="00D50D76" w:rsidRPr="004E2503">
          <w:rPr>
            <w:rStyle w:val="Hyperlink"/>
            <w:rFonts w:ascii="Arial" w:hAnsi="Arial" w:cs="Arial"/>
            <w:sz w:val="22"/>
            <w:lang w:val="es-CR"/>
          </w:rPr>
          <w:t>Estado de los Derechos de la Niñez y Adolescencia 2015 (EDNA)</w:t>
        </w:r>
      </w:hyperlink>
      <w:r w:rsidR="00D50D76" w:rsidRPr="004E2503">
        <w:rPr>
          <w:rFonts w:ascii="Arial" w:hAnsi="Arial" w:cs="Arial"/>
          <w:sz w:val="22"/>
          <w:lang w:val="es-CR"/>
        </w:rPr>
        <w:t xml:space="preserve"> (Universidad de Costa Rica y UNICEF, 2015).</w:t>
      </w:r>
    </w:p>
    <w:p w14:paraId="7DF4760A" w14:textId="77777777" w:rsidR="00D50D76" w:rsidRPr="004E2503" w:rsidRDefault="004E2503" w:rsidP="00D50D76">
      <w:pPr>
        <w:numPr>
          <w:ilvl w:val="0"/>
          <w:numId w:val="2"/>
        </w:numPr>
        <w:spacing w:before="120" w:after="120" w:line="380" w:lineRule="exact"/>
        <w:ind w:left="799" w:hanging="425"/>
        <w:jc w:val="both"/>
        <w:rPr>
          <w:rFonts w:ascii="Arial" w:hAnsi="Arial" w:cs="Arial"/>
          <w:sz w:val="22"/>
          <w:lang w:val="es-CR"/>
        </w:rPr>
      </w:pPr>
      <w:hyperlink r:id="rId10" w:history="1">
        <w:r w:rsidR="00D50D76" w:rsidRPr="004E2503">
          <w:rPr>
            <w:rStyle w:val="Hyperlink"/>
            <w:rFonts w:ascii="Arial" w:hAnsi="Arial" w:cs="Arial"/>
            <w:sz w:val="22"/>
            <w:szCs w:val="22"/>
            <w:lang w:val="es-CR" w:eastAsia="fr-BE"/>
          </w:rPr>
          <w:t>Observaciones finales: Costa Rica. Examen de los informes presentados por los Estados partes en virtud del artículo 44 de la Convención</w:t>
        </w:r>
      </w:hyperlink>
      <w:r w:rsidR="00D50D76" w:rsidRPr="004E2503">
        <w:rPr>
          <w:rFonts w:ascii="Arial" w:hAnsi="Arial" w:cs="Arial"/>
          <w:sz w:val="22"/>
          <w:szCs w:val="22"/>
          <w:lang w:val="es-CR" w:eastAsia="fr-BE"/>
        </w:rPr>
        <w:t xml:space="preserve"> (Comité de los Derechos del Niño, 2011).</w:t>
      </w:r>
    </w:p>
    <w:p w14:paraId="266164E1" w14:textId="1ED251FC" w:rsidR="00D50D76" w:rsidRDefault="00D50D76" w:rsidP="00D50D76">
      <w:pPr>
        <w:numPr>
          <w:ilvl w:val="0"/>
          <w:numId w:val="1"/>
        </w:numPr>
        <w:spacing w:before="120" w:line="380" w:lineRule="exact"/>
        <w:jc w:val="both"/>
        <w:rPr>
          <w:rFonts w:ascii="Arial" w:hAnsi="Arial" w:cs="Arial"/>
          <w:sz w:val="22"/>
          <w:lang w:val="es-CR"/>
        </w:rPr>
      </w:pPr>
      <w:r w:rsidRPr="004E2503">
        <w:rPr>
          <w:rFonts w:ascii="Arial" w:hAnsi="Arial" w:cs="Arial"/>
          <w:sz w:val="22"/>
          <w:lang w:val="es-CR"/>
        </w:rPr>
        <w:t>Compartir la información con los niños, niñas y adolescentes para que, de manera participativa, construyan en conjunto con el gobierno local, un cuadro de problemáticas locales. Se trata de un cuadro sencillo, donde se registren las problemáticas detectadas, teniendo en mente las posibilidades del municipio para realizar acciones para su prevención.</w:t>
      </w:r>
    </w:p>
    <w:p w14:paraId="059FF556" w14:textId="64938DFA" w:rsidR="004E2503" w:rsidRDefault="004E2503" w:rsidP="004E2503">
      <w:pPr>
        <w:spacing w:before="120" w:line="380" w:lineRule="exact"/>
        <w:jc w:val="both"/>
        <w:rPr>
          <w:rFonts w:ascii="Arial" w:hAnsi="Arial" w:cs="Arial"/>
          <w:sz w:val="22"/>
          <w:lang w:val="es-CR"/>
        </w:rPr>
      </w:pPr>
    </w:p>
    <w:p w14:paraId="0BBA9055" w14:textId="0F3FBE8F" w:rsidR="004E2503" w:rsidRDefault="004E2503" w:rsidP="004E2503">
      <w:pPr>
        <w:spacing w:before="120" w:line="380" w:lineRule="exact"/>
        <w:jc w:val="both"/>
        <w:rPr>
          <w:rFonts w:ascii="Arial" w:hAnsi="Arial" w:cs="Arial"/>
          <w:sz w:val="22"/>
          <w:lang w:val="es-CR"/>
        </w:rPr>
      </w:pPr>
    </w:p>
    <w:p w14:paraId="1B7E37D6" w14:textId="77777777" w:rsidR="004E2503" w:rsidRPr="004E2503" w:rsidRDefault="004E2503" w:rsidP="004E2503">
      <w:pPr>
        <w:spacing w:before="120" w:line="380" w:lineRule="exact"/>
        <w:jc w:val="both"/>
        <w:rPr>
          <w:rFonts w:ascii="Arial" w:hAnsi="Arial" w:cs="Arial"/>
          <w:sz w:val="22"/>
          <w:lang w:val="es-CR"/>
        </w:rPr>
      </w:pPr>
    </w:p>
    <w:p w14:paraId="0167E056" w14:textId="77777777" w:rsidR="00D50D76" w:rsidRPr="004E2503" w:rsidRDefault="00D50D76" w:rsidP="00D50D76">
      <w:pPr>
        <w:spacing w:before="120" w:line="380" w:lineRule="exact"/>
        <w:jc w:val="both"/>
        <w:rPr>
          <w:rFonts w:ascii="Arial" w:hAnsi="Arial" w:cs="Arial"/>
          <w:sz w:val="22"/>
          <w:lang w:val="es-CR"/>
        </w:rPr>
      </w:pPr>
      <w:r w:rsidRPr="004E2503">
        <w:rPr>
          <w:rFonts w:ascii="Arial" w:hAnsi="Arial" w:cs="Arial"/>
          <w:sz w:val="22"/>
          <w:lang w:val="es-CR"/>
        </w:rPr>
        <w:lastRenderedPageBreak/>
        <w:t>El que sigue es un ejemplo construido basado en los documentos indicados en el punto 2:</w:t>
      </w:r>
    </w:p>
    <w:tbl>
      <w:tblPr>
        <w:tblStyle w:val="TableGrid"/>
        <w:tblW w:w="10485" w:type="dxa"/>
        <w:tblLayout w:type="fixed"/>
        <w:tblLook w:val="04A0" w:firstRow="1" w:lastRow="0" w:firstColumn="1" w:lastColumn="0" w:noHBand="0" w:noVBand="1"/>
      </w:tblPr>
      <w:tblGrid>
        <w:gridCol w:w="10485"/>
      </w:tblGrid>
      <w:tr w:rsidR="00D50D76" w:rsidRPr="004E2503" w14:paraId="2B111DBC" w14:textId="77777777" w:rsidTr="004E2503">
        <w:tc>
          <w:tcPr>
            <w:tcW w:w="10485" w:type="dxa"/>
            <w:shd w:val="clear" w:color="auto" w:fill="D8D8D8" w:themeFill="background1" w:themeFillShade="D8"/>
          </w:tcPr>
          <w:p w14:paraId="0915F97E" w14:textId="77777777" w:rsidR="00D50D76" w:rsidRPr="004E2503" w:rsidRDefault="00D50D76" w:rsidP="00A6024F">
            <w:pPr>
              <w:spacing w:before="60" w:after="60" w:line="280" w:lineRule="exact"/>
              <w:rPr>
                <w:rFonts w:ascii="Arial" w:hAnsi="Arial" w:cs="Arial"/>
                <w:b/>
                <w:bCs/>
                <w:sz w:val="22"/>
                <w:szCs w:val="22"/>
                <w:lang w:val="es-CR"/>
              </w:rPr>
            </w:pPr>
            <w:r w:rsidRPr="004E2503">
              <w:rPr>
                <w:rFonts w:ascii="Arial" w:hAnsi="Arial" w:cs="Arial"/>
                <w:b/>
                <w:bCs/>
                <w:sz w:val="22"/>
                <w:szCs w:val="22"/>
                <w:lang w:val="es-CR"/>
              </w:rPr>
              <w:t>Problema</w:t>
            </w:r>
          </w:p>
        </w:tc>
      </w:tr>
      <w:tr w:rsidR="00D50D76" w:rsidRPr="004E2503" w14:paraId="21C3A0D9" w14:textId="77777777" w:rsidTr="004E2503">
        <w:tc>
          <w:tcPr>
            <w:tcW w:w="10485" w:type="dxa"/>
          </w:tcPr>
          <w:p w14:paraId="4AAE74CC"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Obesidad/Mala alimentación</w:t>
            </w:r>
          </w:p>
        </w:tc>
      </w:tr>
      <w:tr w:rsidR="00D50D76" w:rsidRPr="004E2503" w14:paraId="01FBAFF3" w14:textId="77777777" w:rsidTr="004E2503">
        <w:tc>
          <w:tcPr>
            <w:tcW w:w="10485" w:type="dxa"/>
          </w:tcPr>
          <w:p w14:paraId="68FE61D2"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Deserción/expulsión del sistema educativo</w:t>
            </w:r>
          </w:p>
        </w:tc>
      </w:tr>
      <w:tr w:rsidR="00D50D76" w:rsidRPr="004E2503" w14:paraId="381B76E6" w14:textId="77777777" w:rsidTr="004E2503">
        <w:tc>
          <w:tcPr>
            <w:tcW w:w="10485" w:type="dxa"/>
          </w:tcPr>
          <w:p w14:paraId="2F99BE04"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Embarazo adolescente</w:t>
            </w:r>
          </w:p>
        </w:tc>
      </w:tr>
      <w:tr w:rsidR="00D50D76" w:rsidRPr="004E2503" w14:paraId="5C8D638E" w14:textId="77777777" w:rsidTr="004E2503">
        <w:tc>
          <w:tcPr>
            <w:tcW w:w="10485" w:type="dxa"/>
          </w:tcPr>
          <w:p w14:paraId="10AD1F10"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Adolescentes madres</w:t>
            </w:r>
          </w:p>
        </w:tc>
      </w:tr>
      <w:tr w:rsidR="00D50D76" w:rsidRPr="004E2503" w14:paraId="73D8C45E" w14:textId="77777777" w:rsidTr="004E2503">
        <w:tc>
          <w:tcPr>
            <w:tcW w:w="10485" w:type="dxa"/>
          </w:tcPr>
          <w:p w14:paraId="37312803"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Adolescentes sin perspectivas educativas y laborales</w:t>
            </w:r>
          </w:p>
        </w:tc>
      </w:tr>
      <w:tr w:rsidR="00D50D76" w:rsidRPr="004E2503" w14:paraId="311007FB" w14:textId="77777777" w:rsidTr="004E2503">
        <w:tc>
          <w:tcPr>
            <w:tcW w:w="10485" w:type="dxa"/>
          </w:tcPr>
          <w:p w14:paraId="5DF23CB6"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Uso y abuso de sustancias psicoactivas</w:t>
            </w:r>
          </w:p>
        </w:tc>
      </w:tr>
      <w:tr w:rsidR="00D50D76" w:rsidRPr="004E2503" w14:paraId="0C326459" w14:textId="77777777" w:rsidTr="004E2503">
        <w:tc>
          <w:tcPr>
            <w:tcW w:w="10485" w:type="dxa"/>
          </w:tcPr>
          <w:p w14:paraId="4F0EF74F"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Víctimas/victimarios de distintos tipos de violencia y abuso</w:t>
            </w:r>
          </w:p>
        </w:tc>
      </w:tr>
      <w:tr w:rsidR="00D50D76" w:rsidRPr="004E2503" w14:paraId="365E28B9" w14:textId="77777777" w:rsidTr="004E2503">
        <w:tc>
          <w:tcPr>
            <w:tcW w:w="10485" w:type="dxa"/>
          </w:tcPr>
          <w:p w14:paraId="04406B39"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Niñez y adolescencia en condición de calle</w:t>
            </w:r>
          </w:p>
        </w:tc>
      </w:tr>
    </w:tbl>
    <w:p w14:paraId="554D11D4" w14:textId="5430D5F2" w:rsidR="00D50D76" w:rsidRPr="004E2503" w:rsidRDefault="00D50D76" w:rsidP="00D50D76">
      <w:pPr>
        <w:spacing w:before="120" w:line="380" w:lineRule="exact"/>
        <w:jc w:val="both"/>
        <w:rPr>
          <w:rFonts w:ascii="Arial" w:hAnsi="Arial" w:cs="Arial"/>
          <w:sz w:val="22"/>
          <w:lang w:val="es-CR"/>
        </w:rPr>
      </w:pPr>
      <w:r w:rsidRPr="004E2503">
        <w:rPr>
          <w:rFonts w:ascii="Arial" w:hAnsi="Arial" w:cs="Arial"/>
          <w:sz w:val="22"/>
          <w:lang w:val="es-CR"/>
        </w:rPr>
        <w:t>Una vez construido y acordado el cuadro, se debe pasar a relacionar esas problemáticas con las situaciones de riesgo o vulnerabilidad social que las propician.</w:t>
      </w:r>
    </w:p>
    <w:p w14:paraId="08B1DCF1" w14:textId="55B3FCE2" w:rsidR="00D50D76" w:rsidRPr="004E2503" w:rsidRDefault="00D50D76" w:rsidP="00D50D76">
      <w:pPr>
        <w:spacing w:before="120" w:line="380" w:lineRule="exact"/>
        <w:jc w:val="both"/>
        <w:rPr>
          <w:rFonts w:ascii="Arial" w:hAnsi="Arial" w:cs="Arial"/>
          <w:sz w:val="22"/>
          <w:lang w:val="es-CR"/>
        </w:rPr>
      </w:pPr>
      <w:r w:rsidRPr="004E2503">
        <w:rPr>
          <w:rFonts w:ascii="Arial" w:hAnsi="Arial" w:cs="Arial"/>
          <w:sz w:val="22"/>
          <w:lang w:val="es-CR"/>
        </w:rPr>
        <w:t xml:space="preserve">La idea es identificar esos riesgos para luego poder realizar acciones preventivas, en la medida de que el riesgo social es una etapa previa a la violación del derecho, que supone una </w:t>
      </w:r>
      <w:r w:rsidR="004E2503" w:rsidRPr="004E2503">
        <w:rPr>
          <w:rFonts w:ascii="Arial" w:hAnsi="Arial" w:cs="Arial"/>
          <w:sz w:val="22"/>
          <w:lang w:val="es-CR"/>
        </w:rPr>
        <w:t>vulnerabilidad,</w:t>
      </w:r>
      <w:r w:rsidRPr="004E2503">
        <w:rPr>
          <w:rFonts w:ascii="Arial" w:hAnsi="Arial" w:cs="Arial"/>
          <w:sz w:val="22"/>
          <w:lang w:val="es-CR"/>
        </w:rPr>
        <w:t xml:space="preserve"> pero, a la vez, una oportunidad para prevenir esa violación. De ahí la importancia de conocer las situaciones de riesgo social asociadas a las problemáticas. </w:t>
      </w:r>
    </w:p>
    <w:p w14:paraId="2A75C4BF" w14:textId="77777777" w:rsidR="00D50D76" w:rsidRPr="004E2503" w:rsidRDefault="00D50D76" w:rsidP="00D50D76">
      <w:pPr>
        <w:spacing w:before="120" w:after="120" w:line="380" w:lineRule="exact"/>
        <w:jc w:val="both"/>
        <w:rPr>
          <w:rFonts w:ascii="Arial" w:hAnsi="Arial" w:cs="Arial"/>
          <w:sz w:val="22"/>
          <w:lang w:val="es-CR"/>
        </w:rPr>
      </w:pPr>
      <w:r w:rsidRPr="004E2503">
        <w:rPr>
          <w:rFonts w:ascii="Arial" w:hAnsi="Arial" w:cs="Arial"/>
          <w:sz w:val="22"/>
          <w:lang w:val="es-CR"/>
        </w:rPr>
        <w:t>Siguiendo con el ejemplo de arriba, sigue un cuadro que incluye un comentario sobre el riesgo social:</w:t>
      </w:r>
    </w:p>
    <w:tbl>
      <w:tblPr>
        <w:tblStyle w:val="TableGrid"/>
        <w:tblW w:w="10485" w:type="dxa"/>
        <w:tblLayout w:type="fixed"/>
        <w:tblLook w:val="04A0" w:firstRow="1" w:lastRow="0" w:firstColumn="1" w:lastColumn="0" w:noHBand="0" w:noVBand="1"/>
      </w:tblPr>
      <w:tblGrid>
        <w:gridCol w:w="2532"/>
        <w:gridCol w:w="7953"/>
      </w:tblGrid>
      <w:tr w:rsidR="00D50D76" w:rsidRPr="004E2503" w14:paraId="1AA0A9A0" w14:textId="77777777" w:rsidTr="004E2503">
        <w:tc>
          <w:tcPr>
            <w:tcW w:w="2532" w:type="dxa"/>
            <w:shd w:val="clear" w:color="auto" w:fill="D8D8D8" w:themeFill="background1" w:themeFillShade="D8"/>
          </w:tcPr>
          <w:p w14:paraId="030999E6" w14:textId="77777777" w:rsidR="00D50D76" w:rsidRPr="004E2503" w:rsidRDefault="00D50D76" w:rsidP="00A6024F">
            <w:pPr>
              <w:spacing w:before="60" w:after="60" w:line="280" w:lineRule="exact"/>
              <w:rPr>
                <w:rFonts w:ascii="Arial" w:hAnsi="Arial" w:cs="Arial"/>
                <w:b/>
                <w:bCs/>
                <w:sz w:val="22"/>
                <w:szCs w:val="22"/>
                <w:lang w:val="es-CR"/>
              </w:rPr>
            </w:pPr>
            <w:r w:rsidRPr="004E2503">
              <w:rPr>
                <w:rFonts w:ascii="Arial" w:hAnsi="Arial" w:cs="Arial"/>
                <w:b/>
                <w:bCs/>
                <w:sz w:val="22"/>
                <w:szCs w:val="22"/>
                <w:lang w:val="es-CR"/>
              </w:rPr>
              <w:t>Problema</w:t>
            </w:r>
          </w:p>
        </w:tc>
        <w:tc>
          <w:tcPr>
            <w:tcW w:w="7953" w:type="dxa"/>
            <w:shd w:val="clear" w:color="auto" w:fill="D8D8D8" w:themeFill="background1" w:themeFillShade="D8"/>
          </w:tcPr>
          <w:p w14:paraId="2261BD1C" w14:textId="77777777" w:rsidR="00D50D76" w:rsidRPr="004E2503" w:rsidRDefault="00D50D76" w:rsidP="00A6024F">
            <w:pPr>
              <w:spacing w:before="60" w:after="60" w:line="280" w:lineRule="exact"/>
              <w:rPr>
                <w:rFonts w:ascii="Arial" w:hAnsi="Arial" w:cs="Arial"/>
                <w:b/>
                <w:bCs/>
                <w:sz w:val="22"/>
                <w:szCs w:val="22"/>
                <w:lang w:val="es-CR"/>
              </w:rPr>
            </w:pPr>
            <w:r w:rsidRPr="004E2503">
              <w:rPr>
                <w:rFonts w:ascii="Arial" w:hAnsi="Arial" w:cs="Arial"/>
                <w:b/>
                <w:bCs/>
                <w:sz w:val="22"/>
                <w:szCs w:val="22"/>
                <w:lang w:val="es-CR"/>
              </w:rPr>
              <w:t>Comentario sobre el riesgo social</w:t>
            </w:r>
          </w:p>
        </w:tc>
      </w:tr>
      <w:tr w:rsidR="00D50D76" w:rsidRPr="004E2503" w14:paraId="07557A47" w14:textId="77777777" w:rsidTr="004E2503">
        <w:tc>
          <w:tcPr>
            <w:tcW w:w="2532" w:type="dxa"/>
          </w:tcPr>
          <w:p w14:paraId="2098306D"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Obesidad/Mala alimentación</w:t>
            </w:r>
          </w:p>
        </w:tc>
        <w:tc>
          <w:tcPr>
            <w:tcW w:w="7953" w:type="dxa"/>
          </w:tcPr>
          <w:p w14:paraId="09867C26"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Este problema de salud está marcado por el sedentarismo y la falta de acceso a alimentos de buena calidad nutricional (alimentación basada en carbohidratos y grasas, pobre en verduras, frutas y proteínas). Se relaciona con el no acceso a espacios exteriores y actividades recreativas, ya sea por la falta de ellos en la comunidad o porque se trata de áreas tomadas por grupos delictivos, por ejemplo.</w:t>
            </w:r>
          </w:p>
        </w:tc>
      </w:tr>
      <w:tr w:rsidR="00D50D76" w:rsidRPr="004E2503" w14:paraId="261196A2" w14:textId="77777777" w:rsidTr="004E2503">
        <w:tc>
          <w:tcPr>
            <w:tcW w:w="2532" w:type="dxa"/>
          </w:tcPr>
          <w:p w14:paraId="7540994E"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Deserción/expulsión del sistema educativo</w:t>
            </w:r>
          </w:p>
        </w:tc>
        <w:tc>
          <w:tcPr>
            <w:tcW w:w="7953" w:type="dxa"/>
          </w:tcPr>
          <w:p w14:paraId="4A464949"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El sistema educativo formal costarricense muestra dos momentos de riesgo de expulsión: séptimo año del tercer ciclo de Educación General Básica y décimo año de Educación Diversificada. Esto resulta particularmente grave puesto que estar fuera del sistema educativo formal es un factor de riesgo social asociado a muchas otras problemáticas, como se puede ver en este cuadro.</w:t>
            </w:r>
          </w:p>
          <w:p w14:paraId="05764A6B"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Algunos factores de riesgo de expulsión son: la falta de apoyo académico y psicológico en el hogar; la falta de apoyo académico y psicológico en el centro educativo; el bullying y otras formas de abuso y violencia en el centro educativo; la violencia intrafamiliar, incluidos la negligencia y el abandono.</w:t>
            </w:r>
          </w:p>
        </w:tc>
      </w:tr>
      <w:tr w:rsidR="00D50D76" w:rsidRPr="004E2503" w14:paraId="7055BD59" w14:textId="77777777" w:rsidTr="004E2503">
        <w:tc>
          <w:tcPr>
            <w:tcW w:w="2532" w:type="dxa"/>
          </w:tcPr>
          <w:p w14:paraId="0BCC7B54" w14:textId="77777777" w:rsidR="00D50D76" w:rsidRPr="004E2503" w:rsidRDefault="00D50D76" w:rsidP="004E2503">
            <w:pPr>
              <w:spacing w:before="60" w:after="60" w:line="280" w:lineRule="exact"/>
              <w:jc w:val="left"/>
              <w:rPr>
                <w:rFonts w:ascii="Arial" w:hAnsi="Arial" w:cs="Arial"/>
                <w:sz w:val="22"/>
                <w:szCs w:val="22"/>
                <w:lang w:val="es-CR"/>
              </w:rPr>
            </w:pPr>
            <w:r w:rsidRPr="004E2503">
              <w:rPr>
                <w:rFonts w:ascii="Arial" w:hAnsi="Arial" w:cs="Arial"/>
                <w:sz w:val="22"/>
                <w:szCs w:val="22"/>
                <w:lang w:val="es-CR"/>
              </w:rPr>
              <w:t>Embarazo adolescente</w:t>
            </w:r>
          </w:p>
        </w:tc>
        <w:tc>
          <w:tcPr>
            <w:tcW w:w="7953" w:type="dxa"/>
          </w:tcPr>
          <w:p w14:paraId="3EA3FB04"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La adolescente es especialmente vulnerable a los embarazos no deseados, que limitan sus capacidades de desarrollo personal, cuando ha sido expulsada del sistema educativo formal.</w:t>
            </w:r>
          </w:p>
          <w:p w14:paraId="33E19674"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 xml:space="preserve">Existe también un riesgo asociado a la desintegración familiar, a la violencia intrafamiliar, al abuso y la negligencia, pues se relacionan con el riesgo de embarazo asociado a una imagen negativa de sí misma (problemas de </w:t>
            </w:r>
            <w:r w:rsidRPr="004E2503">
              <w:rPr>
                <w:rFonts w:ascii="Arial" w:hAnsi="Arial" w:cs="Arial"/>
                <w:sz w:val="22"/>
                <w:szCs w:val="22"/>
                <w:lang w:val="es-CR"/>
              </w:rPr>
              <w:lastRenderedPageBreak/>
              <w:t>autoestima) y la falta de una persona adulta de referencia (a quien le tenga confianza y con quien pueda contar en caso de necesitar apoyo).</w:t>
            </w:r>
          </w:p>
        </w:tc>
      </w:tr>
      <w:tr w:rsidR="00D50D76" w:rsidRPr="004E2503" w14:paraId="2373EE80" w14:textId="77777777" w:rsidTr="004E2503">
        <w:tc>
          <w:tcPr>
            <w:tcW w:w="2532" w:type="dxa"/>
          </w:tcPr>
          <w:p w14:paraId="244DFE0A" w14:textId="77777777" w:rsidR="00D50D76" w:rsidRPr="004E2503" w:rsidRDefault="00D50D76" w:rsidP="004E2503">
            <w:pPr>
              <w:spacing w:before="60" w:after="60" w:line="280" w:lineRule="exact"/>
              <w:jc w:val="left"/>
              <w:rPr>
                <w:rFonts w:ascii="Arial" w:hAnsi="Arial" w:cs="Arial"/>
                <w:sz w:val="22"/>
                <w:szCs w:val="22"/>
                <w:lang w:val="es-CR"/>
              </w:rPr>
            </w:pPr>
            <w:r w:rsidRPr="004E2503">
              <w:rPr>
                <w:rFonts w:ascii="Arial" w:hAnsi="Arial" w:cs="Arial"/>
                <w:sz w:val="22"/>
                <w:szCs w:val="22"/>
                <w:lang w:val="es-CR"/>
              </w:rPr>
              <w:lastRenderedPageBreak/>
              <w:t>Adolescentes madres</w:t>
            </w:r>
          </w:p>
        </w:tc>
        <w:tc>
          <w:tcPr>
            <w:tcW w:w="7953" w:type="dxa"/>
          </w:tcPr>
          <w:p w14:paraId="5F177F1A"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La maternidad temprana supone un grave riesgo social, pues la adolescente madre ve limitado el acceso a la educación, a la salud y al trabajo, y su hijo o hija sufre de falta de atención en salud y alternativas de cuido.</w:t>
            </w:r>
          </w:p>
        </w:tc>
      </w:tr>
      <w:tr w:rsidR="00D50D76" w:rsidRPr="004E2503" w14:paraId="30048C71" w14:textId="77777777" w:rsidTr="004E2503">
        <w:trPr>
          <w:trHeight w:val="1563"/>
        </w:trPr>
        <w:tc>
          <w:tcPr>
            <w:tcW w:w="2532" w:type="dxa"/>
          </w:tcPr>
          <w:p w14:paraId="3191671D" w14:textId="77777777" w:rsidR="00D50D76" w:rsidRPr="004E2503" w:rsidRDefault="00D50D76" w:rsidP="004E2503">
            <w:pPr>
              <w:spacing w:before="60" w:after="60" w:line="280" w:lineRule="exact"/>
              <w:jc w:val="left"/>
              <w:rPr>
                <w:rFonts w:ascii="Arial" w:hAnsi="Arial" w:cs="Arial"/>
                <w:sz w:val="22"/>
                <w:szCs w:val="22"/>
                <w:lang w:val="es-CR"/>
              </w:rPr>
            </w:pPr>
            <w:r w:rsidRPr="004E2503">
              <w:rPr>
                <w:rFonts w:ascii="Arial" w:hAnsi="Arial" w:cs="Arial"/>
                <w:sz w:val="22"/>
                <w:szCs w:val="22"/>
                <w:lang w:val="es-CR"/>
              </w:rPr>
              <w:t>Adolescentes sin perspectivas educativas y laborales</w:t>
            </w:r>
          </w:p>
        </w:tc>
        <w:tc>
          <w:tcPr>
            <w:tcW w:w="7953" w:type="dxa"/>
            <w:vMerge w:val="restart"/>
          </w:tcPr>
          <w:p w14:paraId="322D895F"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La expulsión del sistema educativo formal limita las posibilidades de encontrar empleo de calidad, y hace a las y los adolescentes especialmente vulnerables a la actividad delictiva y al abuso de sustancias psicoactivas.</w:t>
            </w:r>
          </w:p>
          <w:p w14:paraId="17FBC014"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El riesgo también está asociado a la desintegración familiar, a la violencia intrafamiliar, al abuso y la negligencia, y a la falta de una persona adulta de referencia (a quien le tenga confianza y con quien pueda contar en caso de necesitar apoyo).</w:t>
            </w:r>
          </w:p>
        </w:tc>
      </w:tr>
      <w:tr w:rsidR="00D50D76" w:rsidRPr="004E2503" w14:paraId="25C15EDD" w14:textId="77777777" w:rsidTr="004E2503">
        <w:trPr>
          <w:trHeight w:val="586"/>
        </w:trPr>
        <w:tc>
          <w:tcPr>
            <w:tcW w:w="2532" w:type="dxa"/>
          </w:tcPr>
          <w:p w14:paraId="398CA856" w14:textId="77777777" w:rsidR="00D50D76" w:rsidRPr="004E2503" w:rsidRDefault="00D50D76" w:rsidP="004E2503">
            <w:pPr>
              <w:spacing w:before="60" w:after="60" w:line="280" w:lineRule="exact"/>
              <w:jc w:val="left"/>
              <w:rPr>
                <w:rFonts w:ascii="Arial" w:hAnsi="Arial" w:cs="Arial"/>
                <w:sz w:val="22"/>
                <w:szCs w:val="22"/>
                <w:lang w:val="es-CR"/>
              </w:rPr>
            </w:pPr>
            <w:r w:rsidRPr="004E2503">
              <w:rPr>
                <w:rFonts w:ascii="Arial" w:hAnsi="Arial" w:cs="Arial"/>
                <w:sz w:val="22"/>
                <w:szCs w:val="22"/>
                <w:lang w:val="es-CR"/>
              </w:rPr>
              <w:t>Uso y abuso de sustancias psicoactivas</w:t>
            </w:r>
          </w:p>
        </w:tc>
        <w:tc>
          <w:tcPr>
            <w:tcW w:w="7953" w:type="dxa"/>
            <w:vMerge/>
          </w:tcPr>
          <w:p w14:paraId="6422CA8D" w14:textId="77777777" w:rsidR="00D50D76" w:rsidRPr="004E2503" w:rsidRDefault="00D50D76" w:rsidP="00A6024F">
            <w:pPr>
              <w:spacing w:before="60" w:after="60" w:line="280" w:lineRule="exact"/>
              <w:rPr>
                <w:rFonts w:ascii="Arial" w:hAnsi="Arial" w:cs="Arial"/>
                <w:sz w:val="22"/>
                <w:szCs w:val="22"/>
                <w:lang w:val="es-CR"/>
              </w:rPr>
            </w:pPr>
          </w:p>
        </w:tc>
      </w:tr>
      <w:tr w:rsidR="00D50D76" w:rsidRPr="004E2503" w14:paraId="08B6E99F" w14:textId="77777777" w:rsidTr="004E2503">
        <w:tc>
          <w:tcPr>
            <w:tcW w:w="2532" w:type="dxa"/>
          </w:tcPr>
          <w:p w14:paraId="0660FD62" w14:textId="77777777" w:rsidR="00D50D76" w:rsidRPr="004E2503" w:rsidRDefault="00D50D76" w:rsidP="004E2503">
            <w:pPr>
              <w:spacing w:before="60" w:after="60" w:line="280" w:lineRule="exact"/>
              <w:jc w:val="left"/>
              <w:rPr>
                <w:rFonts w:ascii="Arial" w:hAnsi="Arial" w:cs="Arial"/>
                <w:sz w:val="22"/>
                <w:szCs w:val="22"/>
                <w:lang w:val="es-CR"/>
              </w:rPr>
            </w:pPr>
            <w:r w:rsidRPr="004E2503">
              <w:rPr>
                <w:rFonts w:ascii="Arial" w:hAnsi="Arial" w:cs="Arial"/>
                <w:sz w:val="22"/>
                <w:szCs w:val="22"/>
                <w:lang w:val="es-CR"/>
              </w:rPr>
              <w:t>Víctimas/victimarios de distintos tipos de violencia y abuso</w:t>
            </w:r>
          </w:p>
        </w:tc>
        <w:tc>
          <w:tcPr>
            <w:tcW w:w="7953" w:type="dxa"/>
          </w:tcPr>
          <w:p w14:paraId="51E55BD0"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En esta línea se incluyen las distintas violencias a las que están expuestos los niños, niñas y adolescentes, por ejemplo: intrafamiliar; en las relaciones de pareja; de género; bullying y ciberbullying; entre pandillas; en el marco del crimen organizado y el narcotráfico.</w:t>
            </w:r>
          </w:p>
          <w:p w14:paraId="670011C7" w14:textId="2B109A35"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Este riesgo se asocia a la expulsión del sistema educativo formal y a la falta de integración positiva en un grupo de apoyo (comunitario, por ejemplo) o de una persona adulta de referencia (como podría ser un docente, es decir, una persona a quien le tenga confianza y con quien pueda contar en caso de necesitar apoyo). Igualmente se relaciona con la cultura de masculinidad y los estereotipos de género, al modelo de autoridad paternal imperante, a la di</w:t>
            </w:r>
            <w:r w:rsidR="004E2503" w:rsidRPr="004E2503">
              <w:rPr>
                <w:rFonts w:ascii="Arial" w:hAnsi="Arial" w:cs="Arial"/>
                <w:sz w:val="22"/>
                <w:szCs w:val="22"/>
                <w:lang w:val="es-CR"/>
              </w:rPr>
              <w:t>fi</w:t>
            </w:r>
            <w:r w:rsidRPr="004E2503">
              <w:rPr>
                <w:rFonts w:ascii="Arial" w:hAnsi="Arial" w:cs="Arial"/>
                <w:sz w:val="22"/>
                <w:szCs w:val="22"/>
                <w:lang w:val="es-CR"/>
              </w:rPr>
              <w:t>culta</w:t>
            </w:r>
            <w:r w:rsidR="004E2503" w:rsidRPr="004E2503">
              <w:rPr>
                <w:rFonts w:ascii="Arial" w:hAnsi="Arial" w:cs="Arial"/>
                <w:sz w:val="22"/>
                <w:szCs w:val="22"/>
                <w:lang w:val="es-CR"/>
              </w:rPr>
              <w:t>d</w:t>
            </w:r>
            <w:r w:rsidRPr="004E2503">
              <w:rPr>
                <w:rFonts w:ascii="Arial" w:hAnsi="Arial" w:cs="Arial"/>
                <w:sz w:val="22"/>
                <w:szCs w:val="22"/>
                <w:lang w:val="es-CR"/>
              </w:rPr>
              <w:t xml:space="preserve"> para la resolución de conflictos, entre otros cuyo detalle se puede ver en el documento </w:t>
            </w:r>
            <w:hyperlink r:id="rId11" w:history="1">
              <w:r w:rsidRPr="004E2503">
                <w:rPr>
                  <w:rStyle w:val="Hyperlink"/>
                  <w:rFonts w:ascii="Arial" w:hAnsi="Arial" w:cs="Arial"/>
                  <w:sz w:val="22"/>
                  <w:szCs w:val="22"/>
                  <w:lang w:val="es-CR"/>
                </w:rPr>
                <w:t>Plan Nacional para el Desarrollo de Estrategias de Prevención y Erradicación de la Violencia Contra Niños, Niñas y Adolescentes Costa Rica 2017-2019</w:t>
              </w:r>
            </w:hyperlink>
            <w:r w:rsidRPr="004E2503">
              <w:rPr>
                <w:rFonts w:ascii="Arial" w:hAnsi="Arial" w:cs="Arial"/>
                <w:sz w:val="22"/>
                <w:szCs w:val="22"/>
                <w:lang w:val="es-CR"/>
              </w:rPr>
              <w:t xml:space="preserve"> (CNNA, PANI y UNICEF, 2017)</w:t>
            </w:r>
          </w:p>
        </w:tc>
      </w:tr>
      <w:tr w:rsidR="00D50D76" w:rsidRPr="004E2503" w14:paraId="3FFCF5F3" w14:textId="77777777" w:rsidTr="004E2503">
        <w:tc>
          <w:tcPr>
            <w:tcW w:w="2532" w:type="dxa"/>
          </w:tcPr>
          <w:p w14:paraId="6C2D2292"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Niñez y adolescencia en condición de calle</w:t>
            </w:r>
          </w:p>
        </w:tc>
        <w:tc>
          <w:tcPr>
            <w:tcW w:w="7953" w:type="dxa"/>
          </w:tcPr>
          <w:p w14:paraId="1A942285" w14:textId="77777777" w:rsidR="00D50D76" w:rsidRPr="004E2503" w:rsidRDefault="00D50D76" w:rsidP="00A6024F">
            <w:pPr>
              <w:spacing w:before="60" w:after="60" w:line="280" w:lineRule="exact"/>
              <w:rPr>
                <w:rFonts w:ascii="Arial" w:hAnsi="Arial" w:cs="Arial"/>
                <w:sz w:val="22"/>
                <w:szCs w:val="22"/>
                <w:lang w:val="es-CR"/>
              </w:rPr>
            </w:pPr>
            <w:r w:rsidRPr="004E2503">
              <w:rPr>
                <w:rFonts w:ascii="Arial" w:hAnsi="Arial" w:cs="Arial"/>
                <w:sz w:val="22"/>
                <w:szCs w:val="22"/>
                <w:lang w:val="es-CR"/>
              </w:rPr>
              <w:t>El abuso y la negligencia aumentan el riesgo de huida de los NNA, y su permanencia y sobrevivencia en las calles.</w:t>
            </w:r>
          </w:p>
        </w:tc>
      </w:tr>
    </w:tbl>
    <w:p w14:paraId="2C84E950" w14:textId="77777777" w:rsidR="004E2503" w:rsidRDefault="004E2503" w:rsidP="00D50D76">
      <w:pPr>
        <w:widowControl w:val="0"/>
        <w:autoSpaceDE w:val="0"/>
        <w:autoSpaceDN w:val="0"/>
        <w:adjustRightInd w:val="0"/>
        <w:spacing w:before="120" w:after="120" w:line="380" w:lineRule="exact"/>
        <w:jc w:val="both"/>
        <w:rPr>
          <w:rFonts w:ascii="Arial" w:hAnsi="Arial" w:cs="Arial"/>
          <w:sz w:val="22"/>
          <w:szCs w:val="22"/>
          <w:lang w:val="es-CR" w:eastAsia="es-PA"/>
        </w:rPr>
      </w:pPr>
    </w:p>
    <w:p w14:paraId="66743681" w14:textId="6A327379" w:rsidR="00D50D76" w:rsidRPr="004E2503" w:rsidRDefault="00D50D76" w:rsidP="00D50D76">
      <w:pPr>
        <w:widowControl w:val="0"/>
        <w:autoSpaceDE w:val="0"/>
        <w:autoSpaceDN w:val="0"/>
        <w:adjustRightInd w:val="0"/>
        <w:spacing w:before="120" w:after="120" w:line="380" w:lineRule="exact"/>
        <w:jc w:val="both"/>
        <w:rPr>
          <w:rFonts w:ascii="Arial" w:hAnsi="Arial" w:cs="Arial"/>
          <w:sz w:val="22"/>
          <w:szCs w:val="22"/>
          <w:lang w:val="es-CR"/>
        </w:rPr>
      </w:pPr>
      <w:r w:rsidRPr="004E2503">
        <w:rPr>
          <w:rFonts w:ascii="Arial" w:hAnsi="Arial" w:cs="Arial"/>
          <w:sz w:val="22"/>
          <w:szCs w:val="22"/>
          <w:lang w:val="es-CR" w:eastAsia="es-PA"/>
        </w:rPr>
        <w:t>Finalmente, se deben vincular las</w:t>
      </w:r>
      <w:r w:rsidR="004E2503" w:rsidRPr="004E2503">
        <w:rPr>
          <w:rFonts w:ascii="Arial" w:hAnsi="Arial" w:cs="Arial"/>
          <w:sz w:val="22"/>
          <w:szCs w:val="22"/>
          <w:lang w:val="es-CR" w:eastAsia="es-PA"/>
        </w:rPr>
        <w:t xml:space="preserve"> problemáticas</w:t>
      </w:r>
      <w:r w:rsidRPr="004E2503">
        <w:rPr>
          <w:rFonts w:ascii="Arial" w:hAnsi="Arial" w:cs="Arial"/>
          <w:sz w:val="22"/>
          <w:szCs w:val="22"/>
          <w:lang w:val="es-CR" w:eastAsia="es-PA"/>
        </w:rPr>
        <w:t xml:space="preserve"> y riesgos sociales con los cuatro derechos priorizados. Es importante recordar que </w:t>
      </w:r>
      <w:r w:rsidRPr="004E2503">
        <w:rPr>
          <w:rFonts w:ascii="Arial" w:hAnsi="Arial" w:cs="Arial"/>
          <w:sz w:val="22"/>
          <w:szCs w:val="22"/>
          <w:lang w:val="es-CR"/>
        </w:rPr>
        <w:t>los cuatro derechos estratégicamente seleccionados están interrelacionados, razón por la cual en la columna de la derecha del cuadro que sigue, aparece más de un derecho:</w:t>
      </w:r>
    </w:p>
    <w:tbl>
      <w:tblPr>
        <w:tblStyle w:val="TableGrid"/>
        <w:tblW w:w="10485" w:type="dxa"/>
        <w:tblLayout w:type="fixed"/>
        <w:tblLook w:val="04A0" w:firstRow="1" w:lastRow="0" w:firstColumn="1" w:lastColumn="0" w:noHBand="0" w:noVBand="1"/>
      </w:tblPr>
      <w:tblGrid>
        <w:gridCol w:w="2492"/>
        <w:gridCol w:w="4874"/>
        <w:gridCol w:w="3119"/>
      </w:tblGrid>
      <w:tr w:rsidR="00D50D76" w:rsidRPr="004E2503" w14:paraId="034BC13D" w14:textId="77777777" w:rsidTr="004E2503">
        <w:trPr>
          <w:trHeight w:val="407"/>
        </w:trPr>
        <w:tc>
          <w:tcPr>
            <w:tcW w:w="2492" w:type="dxa"/>
            <w:shd w:val="clear" w:color="auto" w:fill="D8D8D8" w:themeFill="background1" w:themeFillShade="D8"/>
          </w:tcPr>
          <w:p w14:paraId="135BDACB" w14:textId="77777777" w:rsidR="00D50D76" w:rsidRPr="004E2503" w:rsidRDefault="00D50D76" w:rsidP="00A6024F">
            <w:pPr>
              <w:widowControl/>
              <w:spacing w:before="40" w:after="60" w:line="280" w:lineRule="exact"/>
              <w:jc w:val="left"/>
              <w:rPr>
                <w:rFonts w:ascii="Arial" w:hAnsi="Arial" w:cs="Arial"/>
                <w:b/>
                <w:bCs/>
                <w:sz w:val="22"/>
                <w:szCs w:val="22"/>
                <w:lang w:val="es-CR"/>
              </w:rPr>
            </w:pPr>
            <w:r w:rsidRPr="004E2503">
              <w:rPr>
                <w:rFonts w:ascii="Arial" w:hAnsi="Arial" w:cs="Arial"/>
                <w:b/>
                <w:bCs/>
                <w:sz w:val="22"/>
                <w:szCs w:val="22"/>
                <w:lang w:val="es-CR"/>
              </w:rPr>
              <w:t>Problema</w:t>
            </w:r>
          </w:p>
        </w:tc>
        <w:tc>
          <w:tcPr>
            <w:tcW w:w="4874" w:type="dxa"/>
            <w:shd w:val="clear" w:color="auto" w:fill="D8D8D8" w:themeFill="background1" w:themeFillShade="D8"/>
          </w:tcPr>
          <w:p w14:paraId="45E54EC0" w14:textId="77777777" w:rsidR="00D50D76" w:rsidRPr="004E2503" w:rsidRDefault="00D50D76" w:rsidP="00A6024F">
            <w:pPr>
              <w:widowControl/>
              <w:spacing w:before="40" w:after="60" w:line="280" w:lineRule="exact"/>
              <w:jc w:val="left"/>
              <w:rPr>
                <w:rFonts w:ascii="Arial" w:hAnsi="Arial" w:cs="Arial"/>
                <w:b/>
                <w:bCs/>
                <w:sz w:val="22"/>
                <w:szCs w:val="22"/>
                <w:lang w:val="es-CR"/>
              </w:rPr>
            </w:pPr>
            <w:r w:rsidRPr="004E2503">
              <w:rPr>
                <w:rFonts w:ascii="Arial" w:hAnsi="Arial" w:cs="Arial"/>
                <w:b/>
                <w:bCs/>
                <w:sz w:val="22"/>
                <w:szCs w:val="22"/>
                <w:lang w:val="es-CR"/>
              </w:rPr>
              <w:t xml:space="preserve">Factores de riesgo </w:t>
            </w:r>
          </w:p>
        </w:tc>
        <w:tc>
          <w:tcPr>
            <w:tcW w:w="3119" w:type="dxa"/>
            <w:shd w:val="clear" w:color="auto" w:fill="D8D8D8" w:themeFill="background1" w:themeFillShade="D8"/>
          </w:tcPr>
          <w:p w14:paraId="090AEDA6" w14:textId="77777777" w:rsidR="00D50D76" w:rsidRPr="004E2503" w:rsidRDefault="00D50D76" w:rsidP="00A6024F">
            <w:pPr>
              <w:widowControl/>
              <w:spacing w:before="40" w:after="60" w:line="280" w:lineRule="exact"/>
              <w:jc w:val="left"/>
              <w:rPr>
                <w:rFonts w:ascii="Arial" w:hAnsi="Arial" w:cs="Arial"/>
                <w:b/>
                <w:bCs/>
                <w:sz w:val="22"/>
                <w:szCs w:val="22"/>
                <w:lang w:val="es-CR"/>
              </w:rPr>
            </w:pPr>
            <w:r w:rsidRPr="004E2503">
              <w:rPr>
                <w:rFonts w:ascii="Arial" w:hAnsi="Arial" w:cs="Arial"/>
                <w:b/>
                <w:bCs/>
                <w:sz w:val="22"/>
                <w:szCs w:val="22"/>
                <w:lang w:val="es-CR"/>
              </w:rPr>
              <w:t>Derecho a proteger</w:t>
            </w:r>
          </w:p>
        </w:tc>
      </w:tr>
      <w:tr w:rsidR="00D50D76" w:rsidRPr="004E2503" w14:paraId="1DCACBE4" w14:textId="77777777" w:rsidTr="004E2503">
        <w:tc>
          <w:tcPr>
            <w:tcW w:w="2492" w:type="dxa"/>
          </w:tcPr>
          <w:p w14:paraId="0C410307"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Obesidad/Mala alimentación</w:t>
            </w:r>
          </w:p>
        </w:tc>
        <w:tc>
          <w:tcPr>
            <w:tcW w:w="4874" w:type="dxa"/>
          </w:tcPr>
          <w:p w14:paraId="351DCA0F"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Sedentarismo.</w:t>
            </w:r>
          </w:p>
          <w:p w14:paraId="52DD79DB"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Falta de acceso a alimentos de buena calidad nutricional.</w:t>
            </w:r>
          </w:p>
          <w:p w14:paraId="15989E0A"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Falta de acceso a espacios exteriores y a actividades recreativas.</w:t>
            </w:r>
          </w:p>
          <w:p w14:paraId="1AF3AEC4"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Negligencia y abandono.</w:t>
            </w:r>
          </w:p>
          <w:p w14:paraId="11845379"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Pobreza.</w:t>
            </w:r>
          </w:p>
        </w:tc>
        <w:tc>
          <w:tcPr>
            <w:tcW w:w="3119" w:type="dxa"/>
          </w:tcPr>
          <w:p w14:paraId="1C82FA43"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Derecho a la salud integral</w:t>
            </w:r>
          </w:p>
          <w:p w14:paraId="67C7A3BF"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Derecho a la cultura, juego y recreación</w:t>
            </w:r>
          </w:p>
          <w:p w14:paraId="70E1B432" w14:textId="77777777" w:rsidR="00D50D76" w:rsidRPr="004E2503" w:rsidRDefault="00D50D76" w:rsidP="00A6024F">
            <w:pPr>
              <w:widowControl/>
              <w:spacing w:before="40" w:after="60" w:line="280" w:lineRule="exact"/>
              <w:jc w:val="left"/>
              <w:rPr>
                <w:rFonts w:ascii="Arial" w:hAnsi="Arial" w:cs="Arial"/>
                <w:sz w:val="22"/>
                <w:szCs w:val="22"/>
                <w:lang w:val="es-CR"/>
              </w:rPr>
            </w:pPr>
          </w:p>
        </w:tc>
      </w:tr>
      <w:tr w:rsidR="00D50D76" w:rsidRPr="004E2503" w14:paraId="2B6FF146" w14:textId="77777777" w:rsidTr="004E2503">
        <w:tc>
          <w:tcPr>
            <w:tcW w:w="2492" w:type="dxa"/>
          </w:tcPr>
          <w:p w14:paraId="07FCA8B2"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Deserción/expulsión del sistema educativo</w:t>
            </w:r>
          </w:p>
        </w:tc>
        <w:tc>
          <w:tcPr>
            <w:tcW w:w="4874" w:type="dxa"/>
          </w:tcPr>
          <w:p w14:paraId="02E0775B"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Falta de apoyo académico y psicológico en el hogar.</w:t>
            </w:r>
          </w:p>
          <w:p w14:paraId="784F847E"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lastRenderedPageBreak/>
              <w:t>- Falta de apoyo académico y psicológico en el centro educativo.</w:t>
            </w:r>
          </w:p>
          <w:p w14:paraId="1D9ADCF3"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Bullying y otras formas de abuso y violencia en el centro educativo.</w:t>
            </w:r>
          </w:p>
          <w:p w14:paraId="591B148B"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Violencia intrafamiliar, incluidos la negligencia y el abandono.</w:t>
            </w:r>
          </w:p>
          <w:p w14:paraId="7EEFF029"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Embarazo adolescente.</w:t>
            </w:r>
          </w:p>
        </w:tc>
        <w:tc>
          <w:tcPr>
            <w:tcW w:w="3119" w:type="dxa"/>
          </w:tcPr>
          <w:p w14:paraId="55DD42AA"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lastRenderedPageBreak/>
              <w:t>- Derecho a la educación</w:t>
            </w:r>
          </w:p>
          <w:p w14:paraId="245351A5"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Derecho a la salud integral</w:t>
            </w:r>
          </w:p>
        </w:tc>
      </w:tr>
      <w:tr w:rsidR="00D50D76" w:rsidRPr="004E2503" w14:paraId="401CD48A" w14:textId="77777777" w:rsidTr="004E2503">
        <w:trPr>
          <w:trHeight w:val="207"/>
        </w:trPr>
        <w:tc>
          <w:tcPr>
            <w:tcW w:w="2492" w:type="dxa"/>
          </w:tcPr>
          <w:p w14:paraId="0087C51A"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Embarazo adolescente</w:t>
            </w:r>
          </w:p>
        </w:tc>
        <w:tc>
          <w:tcPr>
            <w:tcW w:w="4874" w:type="dxa"/>
            <w:vMerge w:val="restart"/>
          </w:tcPr>
          <w:p w14:paraId="73A13289"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Expulsión del sistema educativo formal.</w:t>
            </w:r>
          </w:p>
          <w:p w14:paraId="0A1CA58A"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Desintegración familiar.</w:t>
            </w:r>
          </w:p>
          <w:p w14:paraId="08075037"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Violencia intrafamiliar.</w:t>
            </w:r>
          </w:p>
          <w:p w14:paraId="1B9D007C"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Abuso y negligencia.</w:t>
            </w:r>
          </w:p>
          <w:p w14:paraId="712858DB"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Problemas de autoestima.</w:t>
            </w:r>
          </w:p>
          <w:p w14:paraId="33E5B229"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Falta de una persona adulta de referencia.</w:t>
            </w:r>
          </w:p>
        </w:tc>
        <w:tc>
          <w:tcPr>
            <w:tcW w:w="3119" w:type="dxa"/>
            <w:vMerge w:val="restart"/>
          </w:tcPr>
          <w:p w14:paraId="0DF09841"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Derecho a la educación</w:t>
            </w:r>
          </w:p>
          <w:p w14:paraId="620DA26B"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Derecho a la salud integral</w:t>
            </w:r>
          </w:p>
        </w:tc>
      </w:tr>
      <w:tr w:rsidR="00D50D76" w:rsidRPr="004E2503" w14:paraId="454320A0" w14:textId="77777777" w:rsidTr="004E2503">
        <w:trPr>
          <w:trHeight w:val="90"/>
        </w:trPr>
        <w:tc>
          <w:tcPr>
            <w:tcW w:w="2492" w:type="dxa"/>
          </w:tcPr>
          <w:p w14:paraId="2D127AAA"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Adolescentes madres</w:t>
            </w:r>
          </w:p>
        </w:tc>
        <w:tc>
          <w:tcPr>
            <w:tcW w:w="4874" w:type="dxa"/>
            <w:vMerge/>
          </w:tcPr>
          <w:p w14:paraId="38F89F01" w14:textId="77777777" w:rsidR="00D50D76" w:rsidRPr="004E2503" w:rsidRDefault="00D50D76" w:rsidP="00A6024F">
            <w:pPr>
              <w:widowControl/>
              <w:spacing w:before="40" w:after="60" w:line="280" w:lineRule="exact"/>
              <w:jc w:val="left"/>
              <w:rPr>
                <w:rFonts w:ascii="Arial" w:hAnsi="Arial" w:cs="Arial"/>
                <w:sz w:val="22"/>
                <w:szCs w:val="22"/>
                <w:lang w:val="es-CR"/>
              </w:rPr>
            </w:pPr>
          </w:p>
        </w:tc>
        <w:tc>
          <w:tcPr>
            <w:tcW w:w="3119" w:type="dxa"/>
            <w:vMerge/>
          </w:tcPr>
          <w:p w14:paraId="34F8BBA3" w14:textId="77777777" w:rsidR="00D50D76" w:rsidRPr="004E2503" w:rsidRDefault="00D50D76" w:rsidP="00A6024F">
            <w:pPr>
              <w:widowControl/>
              <w:spacing w:before="40" w:after="60" w:line="280" w:lineRule="exact"/>
              <w:jc w:val="left"/>
              <w:rPr>
                <w:rFonts w:ascii="Arial" w:hAnsi="Arial" w:cs="Arial"/>
                <w:sz w:val="22"/>
                <w:szCs w:val="22"/>
                <w:lang w:val="es-CR"/>
              </w:rPr>
            </w:pPr>
          </w:p>
        </w:tc>
      </w:tr>
      <w:tr w:rsidR="00D50D76" w:rsidRPr="004E2503" w14:paraId="68027698" w14:textId="77777777" w:rsidTr="004E2503">
        <w:trPr>
          <w:trHeight w:val="312"/>
        </w:trPr>
        <w:tc>
          <w:tcPr>
            <w:tcW w:w="2492" w:type="dxa"/>
          </w:tcPr>
          <w:p w14:paraId="3B476DBF"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Adolescentes sin perspectivas educativas y laborales</w:t>
            </w:r>
          </w:p>
        </w:tc>
        <w:tc>
          <w:tcPr>
            <w:tcW w:w="4874" w:type="dxa"/>
            <w:vMerge/>
          </w:tcPr>
          <w:p w14:paraId="3E4A0723" w14:textId="77777777" w:rsidR="00D50D76" w:rsidRPr="004E2503" w:rsidRDefault="00D50D76" w:rsidP="00A6024F">
            <w:pPr>
              <w:widowControl/>
              <w:spacing w:before="40" w:after="60" w:line="280" w:lineRule="exact"/>
              <w:jc w:val="left"/>
              <w:rPr>
                <w:rFonts w:ascii="Arial" w:hAnsi="Arial" w:cs="Arial"/>
                <w:sz w:val="22"/>
                <w:szCs w:val="22"/>
                <w:lang w:val="es-CR"/>
              </w:rPr>
            </w:pPr>
          </w:p>
        </w:tc>
        <w:tc>
          <w:tcPr>
            <w:tcW w:w="3119" w:type="dxa"/>
            <w:vMerge/>
          </w:tcPr>
          <w:p w14:paraId="39009FE2" w14:textId="77777777" w:rsidR="00D50D76" w:rsidRPr="004E2503" w:rsidRDefault="00D50D76" w:rsidP="00A6024F">
            <w:pPr>
              <w:widowControl/>
              <w:spacing w:before="40" w:after="60" w:line="280" w:lineRule="exact"/>
              <w:jc w:val="left"/>
              <w:rPr>
                <w:rFonts w:ascii="Arial" w:hAnsi="Arial" w:cs="Arial"/>
                <w:sz w:val="22"/>
                <w:szCs w:val="22"/>
                <w:lang w:val="es-CR"/>
              </w:rPr>
            </w:pPr>
          </w:p>
        </w:tc>
      </w:tr>
      <w:tr w:rsidR="00D50D76" w:rsidRPr="004E2503" w14:paraId="360774A3" w14:textId="77777777" w:rsidTr="004E2503">
        <w:trPr>
          <w:trHeight w:val="675"/>
        </w:trPr>
        <w:tc>
          <w:tcPr>
            <w:tcW w:w="2492" w:type="dxa"/>
          </w:tcPr>
          <w:p w14:paraId="418C88B9"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Uso y abuso de sustancias psicoactivas</w:t>
            </w:r>
          </w:p>
        </w:tc>
        <w:tc>
          <w:tcPr>
            <w:tcW w:w="4874" w:type="dxa"/>
            <w:vMerge w:val="restart"/>
          </w:tcPr>
          <w:p w14:paraId="47660370"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Expulsión del sistema educativo formal.</w:t>
            </w:r>
          </w:p>
          <w:p w14:paraId="2F9EBE8C"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Falta de integración positiva en un grupo de apoyo (comunitario, por ejemplo).</w:t>
            </w:r>
          </w:p>
          <w:p w14:paraId="7800D90C"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xml:space="preserve">- Falta de una persona adulta de referencia. </w:t>
            </w:r>
          </w:p>
        </w:tc>
        <w:tc>
          <w:tcPr>
            <w:tcW w:w="3119" w:type="dxa"/>
            <w:vMerge w:val="restart"/>
          </w:tcPr>
          <w:p w14:paraId="5393998B"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Derecho al desarrollo psicosocial</w:t>
            </w:r>
          </w:p>
          <w:p w14:paraId="607650D2"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 Derecho a la cultura, juego y recreación</w:t>
            </w:r>
          </w:p>
        </w:tc>
      </w:tr>
      <w:tr w:rsidR="00D50D76" w:rsidRPr="004E2503" w14:paraId="06A67EDC" w14:textId="77777777" w:rsidTr="004E2503">
        <w:trPr>
          <w:trHeight w:val="675"/>
        </w:trPr>
        <w:tc>
          <w:tcPr>
            <w:tcW w:w="2492" w:type="dxa"/>
          </w:tcPr>
          <w:p w14:paraId="57125DB7"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Víctimas/victimarios de distintos tipos de violencia y abuso</w:t>
            </w:r>
          </w:p>
        </w:tc>
        <w:tc>
          <w:tcPr>
            <w:tcW w:w="4874" w:type="dxa"/>
            <w:vMerge/>
          </w:tcPr>
          <w:p w14:paraId="76A220C6" w14:textId="77777777" w:rsidR="00D50D76" w:rsidRPr="004E2503" w:rsidRDefault="00D50D76" w:rsidP="00A6024F">
            <w:pPr>
              <w:widowControl/>
              <w:spacing w:before="40" w:after="60" w:line="280" w:lineRule="exact"/>
              <w:jc w:val="left"/>
              <w:rPr>
                <w:rFonts w:ascii="Arial" w:hAnsi="Arial" w:cs="Arial"/>
                <w:sz w:val="22"/>
                <w:szCs w:val="22"/>
                <w:lang w:val="es-CR"/>
              </w:rPr>
            </w:pPr>
          </w:p>
        </w:tc>
        <w:tc>
          <w:tcPr>
            <w:tcW w:w="3119" w:type="dxa"/>
            <w:vMerge/>
          </w:tcPr>
          <w:p w14:paraId="44D05054" w14:textId="77777777" w:rsidR="00D50D76" w:rsidRPr="004E2503" w:rsidRDefault="00D50D76" w:rsidP="00A6024F">
            <w:pPr>
              <w:widowControl/>
              <w:spacing w:before="40" w:after="60" w:line="280" w:lineRule="exact"/>
              <w:jc w:val="left"/>
              <w:rPr>
                <w:rFonts w:ascii="Arial" w:hAnsi="Arial" w:cs="Arial"/>
                <w:sz w:val="22"/>
                <w:szCs w:val="22"/>
                <w:lang w:val="es-CR"/>
              </w:rPr>
            </w:pPr>
          </w:p>
        </w:tc>
      </w:tr>
      <w:tr w:rsidR="00D50D76" w:rsidRPr="004E2503" w14:paraId="4836E29C" w14:textId="77777777" w:rsidTr="004E2503">
        <w:tc>
          <w:tcPr>
            <w:tcW w:w="2492" w:type="dxa"/>
          </w:tcPr>
          <w:p w14:paraId="3C5D7751" w14:textId="77777777" w:rsidR="00D50D76" w:rsidRPr="004E2503" w:rsidRDefault="00D50D76" w:rsidP="00A6024F">
            <w:pPr>
              <w:widowControl/>
              <w:spacing w:before="40" w:after="60" w:line="280" w:lineRule="exact"/>
              <w:jc w:val="left"/>
              <w:rPr>
                <w:rFonts w:ascii="Arial" w:hAnsi="Arial" w:cs="Arial"/>
                <w:sz w:val="22"/>
                <w:szCs w:val="22"/>
                <w:lang w:val="es-CR"/>
              </w:rPr>
            </w:pPr>
            <w:r w:rsidRPr="004E2503">
              <w:rPr>
                <w:rFonts w:ascii="Arial" w:hAnsi="Arial" w:cs="Arial"/>
                <w:sz w:val="22"/>
                <w:szCs w:val="22"/>
                <w:lang w:val="es-CR"/>
              </w:rPr>
              <w:t>Niñez y adolescencia en condición de calle</w:t>
            </w:r>
          </w:p>
        </w:tc>
        <w:tc>
          <w:tcPr>
            <w:tcW w:w="4874" w:type="dxa"/>
            <w:vMerge/>
          </w:tcPr>
          <w:p w14:paraId="68B73D82" w14:textId="77777777" w:rsidR="00D50D76" w:rsidRPr="004E2503" w:rsidRDefault="00D50D76" w:rsidP="00A6024F">
            <w:pPr>
              <w:widowControl/>
              <w:spacing w:before="40" w:after="60" w:line="280" w:lineRule="exact"/>
              <w:jc w:val="left"/>
              <w:rPr>
                <w:rFonts w:ascii="Arial" w:hAnsi="Arial" w:cs="Arial"/>
                <w:sz w:val="22"/>
                <w:szCs w:val="22"/>
                <w:lang w:val="es-CR"/>
              </w:rPr>
            </w:pPr>
          </w:p>
        </w:tc>
        <w:tc>
          <w:tcPr>
            <w:tcW w:w="3119" w:type="dxa"/>
            <w:vMerge/>
          </w:tcPr>
          <w:p w14:paraId="58BF9152" w14:textId="77777777" w:rsidR="00D50D76" w:rsidRPr="004E2503" w:rsidRDefault="00D50D76" w:rsidP="00A6024F">
            <w:pPr>
              <w:widowControl/>
              <w:spacing w:before="40" w:after="60" w:line="280" w:lineRule="exact"/>
              <w:jc w:val="left"/>
              <w:rPr>
                <w:rFonts w:ascii="Arial" w:hAnsi="Arial" w:cs="Arial"/>
                <w:sz w:val="22"/>
                <w:szCs w:val="22"/>
                <w:lang w:val="es-CR"/>
              </w:rPr>
            </w:pPr>
          </w:p>
        </w:tc>
      </w:tr>
    </w:tbl>
    <w:p w14:paraId="0976B6DA" w14:textId="77777777" w:rsidR="004E2503" w:rsidRDefault="004E2503" w:rsidP="00D50D76">
      <w:pPr>
        <w:widowControl w:val="0"/>
        <w:autoSpaceDE w:val="0"/>
        <w:autoSpaceDN w:val="0"/>
        <w:adjustRightInd w:val="0"/>
        <w:spacing w:before="120" w:after="120" w:line="380" w:lineRule="exact"/>
        <w:jc w:val="both"/>
        <w:rPr>
          <w:rFonts w:ascii="Arial" w:hAnsi="Arial" w:cs="Arial"/>
          <w:sz w:val="22"/>
          <w:szCs w:val="22"/>
          <w:lang w:val="es-CR" w:eastAsia="es-PA"/>
        </w:rPr>
      </w:pPr>
    </w:p>
    <w:p w14:paraId="7CA0631E" w14:textId="01F75B50" w:rsidR="00D50D76" w:rsidRPr="004E2503" w:rsidRDefault="00D50D76" w:rsidP="00D50D76">
      <w:pPr>
        <w:widowControl w:val="0"/>
        <w:autoSpaceDE w:val="0"/>
        <w:autoSpaceDN w:val="0"/>
        <w:adjustRightInd w:val="0"/>
        <w:spacing w:before="120" w:after="120" w:line="380" w:lineRule="exact"/>
        <w:jc w:val="both"/>
        <w:rPr>
          <w:rFonts w:ascii="Arial" w:hAnsi="Arial" w:cs="Arial"/>
          <w:sz w:val="22"/>
          <w:szCs w:val="22"/>
          <w:lang w:val="es-CR" w:eastAsia="es-PA"/>
        </w:rPr>
      </w:pPr>
      <w:r w:rsidRPr="004E2503">
        <w:rPr>
          <w:rFonts w:ascii="Arial" w:hAnsi="Arial" w:cs="Arial"/>
          <w:sz w:val="22"/>
          <w:szCs w:val="22"/>
          <w:lang w:val="es-CR" w:eastAsia="es-PA"/>
        </w:rPr>
        <w:t>Este último cuadro es el que completa este ejercicio. Uno similar debe resultar de la realización de este ejercicio en el cantón.</w:t>
      </w:r>
    </w:p>
    <w:p w14:paraId="30077E0B" w14:textId="77777777" w:rsidR="00682F18" w:rsidRPr="004E2503" w:rsidRDefault="004E2503">
      <w:pPr>
        <w:rPr>
          <w:sz w:val="22"/>
          <w:szCs w:val="22"/>
          <w:lang w:val="es-CR"/>
        </w:rPr>
      </w:pPr>
    </w:p>
    <w:sectPr w:rsidR="00682F18" w:rsidRPr="004E2503" w:rsidSect="004E2503">
      <w:pgSz w:w="12240" w:h="15840"/>
      <w:pgMar w:top="568" w:right="90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ED1C5"/>
    <w:multiLevelType w:val="singleLevel"/>
    <w:tmpl w:val="5A1ED1C5"/>
    <w:lvl w:ilvl="0">
      <w:start w:val="1"/>
      <w:numFmt w:val="bullet"/>
      <w:lvlText w:val="‒"/>
      <w:lvlJc w:val="left"/>
      <w:pPr>
        <w:ind w:left="420" w:hanging="420"/>
      </w:pPr>
      <w:rPr>
        <w:rFonts w:ascii="Arial" w:hAnsi="Arial" w:cs="Arial" w:hint="default"/>
      </w:rPr>
    </w:lvl>
  </w:abstractNum>
  <w:abstractNum w:abstractNumId="1" w15:restartNumberingAfterBreak="0">
    <w:nsid w:val="5A260996"/>
    <w:multiLevelType w:val="singleLevel"/>
    <w:tmpl w:val="5A260996"/>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76"/>
    <w:rsid w:val="001C2C58"/>
    <w:rsid w:val="004E2503"/>
    <w:rsid w:val="00AF2A88"/>
    <w:rsid w:val="00D50D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EEAE"/>
  <w15:chartTrackingRefBased/>
  <w15:docId w15:val="{9F43A4EB-36F1-44A5-946E-96D2ECF2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D76"/>
    <w:pPr>
      <w:spacing w:after="200" w:line="276"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qFormat/>
    <w:rsid w:val="00D50D76"/>
  </w:style>
  <w:style w:type="character" w:styleId="Hyperlink">
    <w:name w:val="Hyperlink"/>
    <w:basedOn w:val="DefaultParagraphFont"/>
    <w:qFormat/>
    <w:rsid w:val="00D50D76"/>
    <w:rPr>
      <w:color w:val="0000FF"/>
      <w:u w:val="single"/>
    </w:rPr>
  </w:style>
  <w:style w:type="table" w:styleId="TableGrid">
    <w:name w:val="Table Grid"/>
    <w:basedOn w:val="TableNormal"/>
    <w:qFormat/>
    <w:rsid w:val="00D50D76"/>
    <w:pPr>
      <w:widowControl w:val="0"/>
      <w:spacing w:after="200" w:line="276"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i.go.cr/images/Plan%20Prevencion%20Violenci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cef.org/costarica/agenda_naciona_na_2015(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costarica/docs/cr_pub_Politica_NNA_CR.pdf" TargetMode="External"/><Relationship Id="rId11" Type="http://schemas.openxmlformats.org/officeDocument/2006/relationships/hyperlink" Target="http://www.pani.go.cr/images/Plan%20Prevencion%20Violencia.pdf" TargetMode="External"/><Relationship Id="rId5" Type="http://schemas.openxmlformats.org/officeDocument/2006/relationships/image" Target="media/image1.png"/><Relationship Id="rId10" Type="http://schemas.openxmlformats.org/officeDocument/2006/relationships/hyperlink" Target="http://www.acnur.org/fileadmin/Documentos/BDL/2012/8585.pdf?view=1" TargetMode="External"/><Relationship Id="rId4" Type="http://schemas.openxmlformats.org/officeDocument/2006/relationships/webSettings" Target="webSettings.xml"/><Relationship Id="rId9" Type="http://schemas.openxmlformats.org/officeDocument/2006/relationships/hyperlink" Target="https://www.unicef.org/costarica/ESTADO_DERECHOS_DE_NNA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 Araya</dc:creator>
  <cp:keywords/>
  <dc:description/>
  <cp:lastModifiedBy>Marco Hidalgo Molina</cp:lastModifiedBy>
  <cp:revision>2</cp:revision>
  <dcterms:created xsi:type="dcterms:W3CDTF">2018-11-13T20:17:00Z</dcterms:created>
  <dcterms:modified xsi:type="dcterms:W3CDTF">2018-11-13T20:17:00Z</dcterms:modified>
</cp:coreProperties>
</file>