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D67" w:rsidRDefault="00880A7E" w:rsidP="003F7D67">
      <w:pPr>
        <w:pStyle w:val="Heading1"/>
        <w:shd w:val="clear" w:color="auto" w:fill="DAE3F3" w:themeFill="accent5" w:themeFillTint="32"/>
        <w:spacing w:before="120" w:after="120" w:line="320" w:lineRule="exact"/>
        <w:rPr>
          <w:rFonts w:ascii="Arial" w:hAnsi="Arial" w:cs="Arial"/>
          <w:sz w:val="32"/>
          <w:szCs w:val="32"/>
          <w:lang w:val="es-CR"/>
        </w:rPr>
      </w:pPr>
      <w:bookmarkStart w:id="0" w:name="_Toc30263"/>
      <w:bookmarkStart w:id="1" w:name="Problemas"/>
      <w:bookmarkStart w:id="2" w:name="_Problemáticas_de_la_niñez_y_adolescenci"/>
      <w:bookmarkStart w:id="3" w:name="_GoBack"/>
      <w:bookmarkEnd w:id="3"/>
      <w:r>
        <w:rPr>
          <w:rFonts w:ascii="Arial" w:hAnsi="Arial" w:cs="Arial"/>
          <w:sz w:val="32"/>
          <w:szCs w:val="32"/>
          <w:lang w:val="es-CR"/>
        </w:rPr>
        <w:t xml:space="preserve">Guía de análisis de la </w:t>
      </w:r>
      <w:r w:rsidR="003E1184">
        <w:rPr>
          <w:rFonts w:ascii="Arial" w:hAnsi="Arial" w:cs="Arial"/>
          <w:sz w:val="32"/>
          <w:szCs w:val="32"/>
          <w:lang w:val="es-CR"/>
        </w:rPr>
        <w:t>p</w:t>
      </w:r>
      <w:r w:rsidR="003F7D67" w:rsidRPr="0078582A">
        <w:rPr>
          <w:rFonts w:ascii="Arial" w:hAnsi="Arial" w:cs="Arial"/>
          <w:sz w:val="32"/>
          <w:szCs w:val="32"/>
          <w:lang w:val="es-CR"/>
        </w:rPr>
        <w:t>roblemática de la niñez y adolescencia</w:t>
      </w:r>
      <w:bookmarkEnd w:id="0"/>
    </w:p>
    <w:p w:rsidR="00880A7E" w:rsidRPr="00880A7E" w:rsidRDefault="003E1184" w:rsidP="003E1184">
      <w:pPr>
        <w:jc w:val="center"/>
        <w:rPr>
          <w:lang w:val="es-CR"/>
        </w:rPr>
      </w:pPr>
      <w:r>
        <w:rPr>
          <w:noProof/>
          <w:lang w:val="es-CR"/>
        </w:rPr>
        <w:drawing>
          <wp:inline distT="0" distB="0" distL="0" distR="0">
            <wp:extent cx="1504950" cy="1200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sse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89" cy="1209686"/>
                    </a:xfrm>
                    <a:prstGeom prst="rect">
                      <a:avLst/>
                    </a:prstGeom>
                  </pic:spPr>
                </pic:pic>
              </a:graphicData>
            </a:graphic>
          </wp:inline>
        </w:drawing>
      </w:r>
    </w:p>
    <w:bookmarkEnd w:id="1"/>
    <w:bookmarkEnd w:id="2"/>
    <w:p w:rsidR="003F7D67" w:rsidRPr="0078582A" w:rsidRDefault="003F7D67" w:rsidP="003F7D67">
      <w:pPr>
        <w:shd w:val="clear" w:color="auto" w:fill="DAE3F3" w:themeFill="accent5" w:themeFillTint="32"/>
        <w:spacing w:before="120" w:after="120" w:line="320" w:lineRule="exact"/>
        <w:rPr>
          <w:rFonts w:ascii="Arial" w:hAnsi="Arial" w:cs="Arial"/>
          <w:szCs w:val="24"/>
          <w:lang w:val="es-CR"/>
        </w:rPr>
      </w:pPr>
      <w:r w:rsidRPr="0078582A">
        <w:rPr>
          <w:rFonts w:ascii="Arial" w:hAnsi="Arial" w:cs="Arial"/>
          <w:szCs w:val="24"/>
          <w:lang w:val="es-CR"/>
        </w:rPr>
        <w:t>Muchas veces, cuando pensamos en los derechos de niñas, niños y adolescentes, tendemos a evocar las problemáticas que les aquejan. Sin embargo, la protección de sus derechos pasa por relacionar estos problemas con acciones preventivas que eviten que ellos y ellas lleguen a sufrirlos y vean sus derechos vulnerados.</w:t>
      </w:r>
    </w:p>
    <w:p w:rsidR="00C359DD" w:rsidRDefault="00C359DD" w:rsidP="003F7D67">
      <w:pPr>
        <w:spacing w:before="120" w:line="380" w:lineRule="exact"/>
        <w:jc w:val="both"/>
        <w:rPr>
          <w:rFonts w:ascii="Arial" w:hAnsi="Arial" w:cs="Arial"/>
          <w:sz w:val="22"/>
          <w:lang w:val="es-CR"/>
        </w:rPr>
      </w:pPr>
    </w:p>
    <w:p w:rsidR="00C359DD" w:rsidRDefault="00C359DD" w:rsidP="00C359DD">
      <w:pPr>
        <w:spacing w:before="120" w:line="380" w:lineRule="exact"/>
        <w:jc w:val="center"/>
        <w:rPr>
          <w:rFonts w:ascii="Arial" w:hAnsi="Arial" w:cs="Arial"/>
          <w:b/>
          <w:bCs/>
          <w:sz w:val="28"/>
          <w:szCs w:val="28"/>
          <w:lang w:val="es-CR"/>
        </w:rPr>
      </w:pPr>
      <w:r w:rsidRPr="00C359DD">
        <w:rPr>
          <w:rFonts w:ascii="Arial" w:hAnsi="Arial" w:cs="Arial"/>
          <w:b/>
          <w:bCs/>
          <w:sz w:val="28"/>
          <w:szCs w:val="28"/>
          <w:lang w:val="es-CR"/>
        </w:rPr>
        <w:t>Un primer paso necesario es ver a la niñez y adolescencia del cantón desde las problemáticas que les aquejan.</w:t>
      </w:r>
    </w:p>
    <w:p w:rsidR="00C359DD" w:rsidRPr="00C359DD" w:rsidRDefault="00C359DD" w:rsidP="00C359DD">
      <w:pPr>
        <w:spacing w:before="120" w:line="380" w:lineRule="exact"/>
        <w:jc w:val="center"/>
        <w:rPr>
          <w:rFonts w:ascii="Arial" w:hAnsi="Arial" w:cs="Arial"/>
          <w:b/>
          <w:bCs/>
          <w:sz w:val="28"/>
          <w:szCs w:val="28"/>
          <w:lang w:val="es-CR"/>
        </w:rPr>
      </w:pP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La perspectiva de protección integral de la niñez y adolescencia supone transitar por cuatro momentos o pasos: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En un primer momento es esencial enfocarse en las problemáticas.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Un segundo momento debe llevar a la reflexión sobre las condiciones de vulnerabilidad que pueden llevar a dificultades para garantizar los derechos de los niños, niñas y adolescentes.</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En un tercer momento se determina cuál o cuáles derechos se tendría que trabajar prioritariamente para garantizar la protección de la población de personas menores de edad del cantón.</w:t>
      </w:r>
    </w:p>
    <w:p w:rsidR="003F7D67" w:rsidRPr="0078582A" w:rsidRDefault="003F7D67" w:rsidP="003F7D67">
      <w:pPr>
        <w:numPr>
          <w:ilvl w:val="0"/>
          <w:numId w:val="2"/>
        </w:numPr>
        <w:spacing w:before="120" w:line="380" w:lineRule="exact"/>
        <w:jc w:val="both"/>
        <w:rPr>
          <w:rFonts w:ascii="Arial" w:hAnsi="Arial" w:cs="Arial"/>
          <w:sz w:val="22"/>
          <w:lang w:val="es-CR"/>
        </w:rPr>
      </w:pPr>
      <w:r w:rsidRPr="0078582A">
        <w:rPr>
          <w:rFonts w:ascii="Arial" w:hAnsi="Arial" w:cs="Arial"/>
          <w:sz w:val="22"/>
          <w:lang w:val="es-CR"/>
        </w:rPr>
        <w:t>Finalmente, se llega a trazar medidas preventivas para evitar que los niños, niñas y adolescentes del cantón lleguen a ver sus derechos vulnerados.</w:t>
      </w:r>
    </w:p>
    <w:p w:rsidR="003F7D67" w:rsidRDefault="003F7D67" w:rsidP="003F7D67">
      <w:pPr>
        <w:pBdr>
          <w:bottom w:val="single" w:sz="4" w:space="0" w:color="auto"/>
        </w:pBdr>
        <w:spacing w:before="120" w:after="120" w:line="380" w:lineRule="exact"/>
        <w:jc w:val="both"/>
        <w:rPr>
          <w:rFonts w:ascii="Arial" w:hAnsi="Arial" w:cs="Arial"/>
          <w:sz w:val="22"/>
          <w:lang w:val="es-CR"/>
        </w:rPr>
      </w:pPr>
      <w:r w:rsidRPr="0078582A">
        <w:rPr>
          <w:rFonts w:ascii="Arial" w:hAnsi="Arial" w:cs="Arial"/>
          <w:sz w:val="22"/>
          <w:lang w:val="es-CR"/>
        </w:rPr>
        <w:t>Veremos en lo que sigue los dos primeros puntos. Los puntos 3 y 4 se desarrollan en las siguientes dos secciones.</w:t>
      </w:r>
    </w:p>
    <w:p w:rsidR="003E1184" w:rsidRDefault="003E1184" w:rsidP="003F7D67">
      <w:pPr>
        <w:pBdr>
          <w:bottom w:val="single" w:sz="4" w:space="0" w:color="auto"/>
        </w:pBdr>
        <w:spacing w:before="120" w:after="120" w:line="380" w:lineRule="exact"/>
        <w:jc w:val="both"/>
        <w:rPr>
          <w:rFonts w:ascii="Arial" w:hAnsi="Arial" w:cs="Arial"/>
          <w:sz w:val="22"/>
          <w:lang w:val="es-CR"/>
        </w:rPr>
      </w:pPr>
    </w:p>
    <w:p w:rsidR="003E1184" w:rsidRDefault="003E1184" w:rsidP="003F7D67">
      <w:pPr>
        <w:pBdr>
          <w:bottom w:val="single" w:sz="4" w:space="0" w:color="auto"/>
        </w:pBdr>
        <w:spacing w:before="120" w:after="120" w:line="380" w:lineRule="exact"/>
        <w:jc w:val="both"/>
        <w:rPr>
          <w:rFonts w:ascii="Arial" w:hAnsi="Arial" w:cs="Arial"/>
          <w:sz w:val="22"/>
          <w:lang w:val="es-CR"/>
        </w:rPr>
      </w:pPr>
    </w:p>
    <w:p w:rsidR="003E1184" w:rsidRDefault="003E1184" w:rsidP="003F7D67">
      <w:pPr>
        <w:pBdr>
          <w:bottom w:val="single" w:sz="4" w:space="0" w:color="auto"/>
        </w:pBdr>
        <w:spacing w:before="120" w:after="120" w:line="380" w:lineRule="exact"/>
        <w:jc w:val="both"/>
        <w:rPr>
          <w:rFonts w:ascii="Arial" w:hAnsi="Arial" w:cs="Arial"/>
          <w:sz w:val="22"/>
          <w:lang w:val="es-CR"/>
        </w:rPr>
      </w:pPr>
    </w:p>
    <w:p w:rsidR="003E1184" w:rsidRPr="0078582A" w:rsidRDefault="003E1184" w:rsidP="003F7D67">
      <w:pPr>
        <w:pBdr>
          <w:bottom w:val="single" w:sz="4" w:space="0" w:color="auto"/>
        </w:pBdr>
        <w:spacing w:before="120" w:after="120" w:line="380" w:lineRule="exact"/>
        <w:jc w:val="both"/>
        <w:rPr>
          <w:rFonts w:ascii="Arial" w:hAnsi="Arial" w:cs="Arial"/>
          <w:sz w:val="22"/>
          <w:lang w:val="es-CR"/>
        </w:rPr>
      </w:pPr>
    </w:p>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4" w:name="_Toc2181"/>
      <w:r w:rsidRPr="0078582A">
        <w:rPr>
          <w:rFonts w:ascii="Arial" w:hAnsi="Arial" w:cs="Arial" w:hint="default"/>
          <w:color w:val="2F5496" w:themeColor="accent5" w:themeShade="BF"/>
          <w:sz w:val="22"/>
          <w:szCs w:val="22"/>
          <w:lang w:val="es-CR"/>
        </w:rPr>
        <w:t>Una consideración preliminar: género, edad y contexto</w:t>
      </w:r>
      <w:bookmarkEnd w:id="4"/>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A la hora de abordar las problemáticas que aquejan a los niños, niñas y adolescentes del cantón es esencial tomar en consideración la edad, el género y las condiciones contextuales, es decir, las características del espacio donde se desarrollan, pues los problemas que les aquejan no los tocan a todos, en todos los momentos: son diferentes para niños y niñas, para adolescentes hombres y adolescentes mujeres, y para las y los que se encuentran cotidianamente enfrentados a condiciones especiales de riesgo social. </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En este sentido, es importante considerar la definición que ofrece el </w:t>
      </w:r>
      <w:hyperlink r:id="rId8" w:history="1">
        <w:r w:rsidRPr="0078582A">
          <w:rPr>
            <w:rStyle w:val="Hyperlink"/>
            <w:rFonts w:ascii="Arial" w:hAnsi="Arial" w:cs="Arial"/>
            <w:sz w:val="22"/>
            <w:lang w:val="es-CR"/>
          </w:rPr>
          <w:t>Código de la Niñez y Adolescencia</w:t>
        </w:r>
      </w:hyperlink>
      <w:r w:rsidRPr="0078582A">
        <w:rPr>
          <w:rFonts w:ascii="Arial" w:hAnsi="Arial" w:cs="Arial"/>
          <w:sz w:val="22"/>
          <w:lang w:val="es-CR"/>
        </w:rPr>
        <w:t xml:space="preserve"> en su artículo segundo:</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Para los efectos de este Código, se considerará niño o niña a toda persona desde su concepción hasta los doce años de edad cumplidos, y adolescente a toda persona mayor de doce años y menor de dieciocho. Ante la duda, prevalecerá la condición de adolescente frente a la de adulto y la de niño frente a la de adolescente.</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Por su parte, la </w:t>
      </w:r>
      <w:hyperlink r:id="rId9"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ofrece un desglose mayor de estas categorías, que marca las necesidades específicas de cada grupo etario:</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Prenatal: desde el momento de la concepción hasta el nacimiento.</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Infancia: desde el nacimiento hasta los 2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Niñez temprana: desde los 3 hasta los 6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Niñez media: desde los 7 hasta los 11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Adolescencia, primera etapa: desde los 12 hasta los 14 años de edad.</w:t>
      </w:r>
    </w:p>
    <w:p w:rsidR="003F7D67" w:rsidRPr="0078582A" w:rsidRDefault="003F7D67" w:rsidP="003F7D67">
      <w:pPr>
        <w:numPr>
          <w:ilvl w:val="0"/>
          <w:numId w:val="4"/>
        </w:numPr>
        <w:spacing w:before="120" w:line="380" w:lineRule="exact"/>
        <w:jc w:val="both"/>
        <w:rPr>
          <w:rFonts w:ascii="Arial" w:hAnsi="Arial" w:cs="Arial"/>
          <w:sz w:val="22"/>
          <w:lang w:val="es-CR"/>
        </w:rPr>
      </w:pPr>
      <w:r w:rsidRPr="0078582A">
        <w:rPr>
          <w:rFonts w:ascii="Arial" w:hAnsi="Arial" w:cs="Arial"/>
          <w:sz w:val="22"/>
          <w:lang w:val="es-CR"/>
        </w:rPr>
        <w:t>Adolescencia, segunda etapa: desde los 15 hasta los 17 años de edad.</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La </w:t>
      </w:r>
      <w:hyperlink r:id="rId10"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xml:space="preserve"> también habla del enfoque sobre la condición etaria, el de igualdad de género y la consideración del contexto como esenciales para la garantía de derechos de los niños, niñas y adolescentes:</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 xml:space="preserve">Debe comprenderse que las necesidades y las capacidades de las personas menores de edad varían de forma considerable, en tramos temporales relativamente cortos. Por ello, se debe prestar atención a esta dinámica de su evolución y </w:t>
      </w:r>
      <w:r w:rsidRPr="0078582A">
        <w:rPr>
          <w:rFonts w:ascii="Arial" w:hAnsi="Arial" w:cs="Arial"/>
          <w:i/>
          <w:iCs/>
          <w:sz w:val="22"/>
          <w:lang w:val="es-CR"/>
        </w:rPr>
        <w:lastRenderedPageBreak/>
        <w:t>crecimiento. Esto significa que los distintos programas y actividades, para su diseño, ejecución y evaluación, tomarán en cuenta el modo de atender esta diversidad etaria, lo que implica el análisis de los entornos inmediatos, factores de protección, participación acorde con las capacidades efectivas de los niños, niñas y adolescentes, y creatividad en la forma de promover los protagonismos de estas personas, de acuerdo con sus distintas etapas biográficas (PNNA, 2009, p. 56).</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Mediante la aplicación de este principio (igualdad y equidad de género) se promoverá la equiparación de condiciones entre niños y niñas, y entre adolescentes de ambos sexos, de modo que se puedan distinguir las necesidades específicas de mujeres y hombres, tanto en su contexto social como en sus actividades más inmediatas (PNNA, 2009, p. 57).</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Como bien se señala en el </w:t>
      </w:r>
      <w:hyperlink r:id="rId11"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 la violencia que afecta a los niños, niñas y adolescentes también se relaciona con cuestiones etarias, de género y de espacio:</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La violencia tiene un rasgo urbano, justamente en los cascos urbanos (cabeceras de cantón y ciudades intermedias) se acumulan la mayor cantidad de hechos de violencia como robos, agresiones, homicidios (infanticidios, feminicidios).</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El género de la víctima (…) importa, en una relación de 9 hombres por 1 mujer fallecida (con elementos simbólicos de una violencia de género como reflejo del establecimiento de una cultura de violencia), además hay un porcentaje importante de actos de violencia que se acumulan en los grupos etarios jóvenes.</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w:t>
      </w:r>
    </w:p>
    <w:p w:rsidR="003F7D67" w:rsidRPr="0078582A"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 la población infanto-juvenil de manera significativa es afectada:</w:t>
      </w:r>
    </w:p>
    <w:p w:rsidR="003F7D67" w:rsidRDefault="003F7D67" w:rsidP="003F7D67">
      <w:pPr>
        <w:spacing w:before="120" w:line="380" w:lineRule="exact"/>
        <w:ind w:leftChars="200" w:left="480"/>
        <w:jc w:val="both"/>
        <w:rPr>
          <w:rFonts w:ascii="Arial" w:hAnsi="Arial" w:cs="Arial"/>
          <w:i/>
          <w:iCs/>
          <w:sz w:val="22"/>
          <w:lang w:val="es-CR"/>
        </w:rPr>
      </w:pPr>
      <w:r w:rsidRPr="0078582A">
        <w:rPr>
          <w:rFonts w:ascii="Arial" w:hAnsi="Arial" w:cs="Arial"/>
          <w:i/>
          <w:iCs/>
          <w:sz w:val="22"/>
          <w:lang w:val="es-CR"/>
        </w:rPr>
        <w:t>Los grupos de edad extremos en donde se caracterizan la población infanto-juvenil de 0 a 9 años de edad con más de tres mil casos notificados entre niños y niñas y la población adulta mayor, (…) son poblaciones dependientes por lo que se vuelven vulnerables en manos de agresores y agresoras, los cuales les violentan de manera física, sexual, mental y patrimonial entre otras formas de violencia (…) (</w:t>
      </w:r>
      <w:hyperlink r:id="rId12" w:history="1">
        <w:r w:rsidRPr="0078582A">
          <w:rPr>
            <w:rStyle w:val="Hyperlink"/>
            <w:rFonts w:ascii="Arial" w:hAnsi="Arial" w:cs="Arial"/>
            <w:i/>
            <w:iCs/>
            <w:sz w:val="22"/>
            <w:lang w:val="es-CR"/>
          </w:rPr>
          <w:t>Plan Nacional para el Desarrollo de Estrategias de Prevención y Erradicación de la Violencia Contra Niños, Niñas y Adolescentes Costa Rica 2017-2019</w:t>
        </w:r>
      </w:hyperlink>
      <w:r w:rsidRPr="0078582A">
        <w:rPr>
          <w:rFonts w:ascii="Arial" w:hAnsi="Arial" w:cs="Arial"/>
          <w:i/>
          <w:iCs/>
          <w:sz w:val="22"/>
          <w:lang w:val="es-CR"/>
        </w:rPr>
        <w:t>, 2017, p. 38)</w:t>
      </w:r>
    </w:p>
    <w:p w:rsidR="003E1184" w:rsidRPr="0078582A" w:rsidRDefault="003E1184" w:rsidP="003F7D67">
      <w:pPr>
        <w:spacing w:before="120" w:line="380" w:lineRule="exact"/>
        <w:ind w:leftChars="200" w:left="480"/>
        <w:jc w:val="both"/>
        <w:rPr>
          <w:rFonts w:ascii="Arial" w:hAnsi="Arial" w:cs="Arial"/>
          <w:i/>
          <w:iCs/>
          <w:sz w:val="22"/>
          <w:lang w:val="es-CR"/>
        </w:rPr>
      </w:pPr>
    </w:p>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5" w:name="_Toc29547"/>
      <w:r w:rsidRPr="0078582A">
        <w:rPr>
          <w:rFonts w:ascii="Arial" w:hAnsi="Arial" w:cs="Arial" w:hint="default"/>
          <w:color w:val="2F5496" w:themeColor="accent5" w:themeShade="BF"/>
          <w:sz w:val="22"/>
          <w:szCs w:val="22"/>
          <w:lang w:val="es-CR"/>
        </w:rPr>
        <w:lastRenderedPageBreak/>
        <w:t>¿Cuáles son las problemáticas que afectan a la niñez y adolescencia costarricense?</w:t>
      </w:r>
      <w:bookmarkEnd w:id="5"/>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La </w:t>
      </w:r>
      <w:hyperlink r:id="rId13" w:history="1">
        <w:r w:rsidRPr="0078582A">
          <w:rPr>
            <w:rStyle w:val="Hyperlink"/>
            <w:rFonts w:ascii="Arial" w:hAnsi="Arial" w:cs="Arial"/>
            <w:sz w:val="22"/>
            <w:lang w:val="es-CR"/>
          </w:rPr>
          <w:t>Agenda Nacional para la Niñez y Adolescencia: Metas y Compromisos 2015-2021</w:t>
        </w:r>
      </w:hyperlink>
      <w:r w:rsidRPr="0078582A">
        <w:rPr>
          <w:rFonts w:ascii="Arial" w:hAnsi="Arial" w:cs="Arial"/>
          <w:sz w:val="22"/>
          <w:lang w:val="es-CR"/>
        </w:rPr>
        <w:t xml:space="preserve"> (CNNA y UNICEF, 2015) muestra los desafíos en la materia que enfrenta la sociedad costarricense. Se complementa con la información disponible en el </w:t>
      </w:r>
      <w:hyperlink r:id="rId14"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La siguiente lista de problemáticas relacionadas con la población de los niños, niñas y adolescentes en Costa Rica se basa en los datos que forman parte de dichos documentos y se ha hecho sobre la base de las acciones estratégicas que se pueden desarrollar desde los gobiernos locales.</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Se trata de categorías amplias, que resumen los ámbitos de las problemáticas que afectan a los niños, niñas y adolescentes:</w:t>
      </w:r>
    </w:p>
    <w:tbl>
      <w:tblPr>
        <w:tblStyle w:val="TableGrid"/>
        <w:tblW w:w="8807" w:type="dxa"/>
        <w:tblLayout w:type="fixed"/>
        <w:tblLook w:val="04A0" w:firstRow="1" w:lastRow="0" w:firstColumn="1" w:lastColumn="0" w:noHBand="0" w:noVBand="1"/>
      </w:tblPr>
      <w:tblGrid>
        <w:gridCol w:w="8807"/>
      </w:tblGrid>
      <w:tr w:rsidR="003F7D67" w:rsidRPr="0078582A" w:rsidTr="006D5751">
        <w:tc>
          <w:tcPr>
            <w:tcW w:w="8807"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Problema</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madres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r>
      <w:tr w:rsidR="003F7D67" w:rsidRPr="0078582A" w:rsidTr="006D5751">
        <w:tc>
          <w:tcPr>
            <w:tcW w:w="8807"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Niñez y adolescencia en condición de calle</w:t>
            </w:r>
          </w:p>
        </w:tc>
      </w:tr>
    </w:tbl>
    <w:p w:rsidR="003F7D67" w:rsidRPr="0078582A" w:rsidRDefault="003F7D67" w:rsidP="003F7D67">
      <w:pPr>
        <w:pStyle w:val="Heading2"/>
        <w:numPr>
          <w:ilvl w:val="0"/>
          <w:numId w:val="3"/>
        </w:numPr>
        <w:rPr>
          <w:rFonts w:ascii="Arial" w:hAnsi="Arial" w:cs="Arial" w:hint="default"/>
          <w:color w:val="2F5496" w:themeColor="accent5" w:themeShade="BF"/>
          <w:sz w:val="22"/>
          <w:szCs w:val="22"/>
          <w:lang w:val="es-CR"/>
        </w:rPr>
      </w:pPr>
      <w:bookmarkStart w:id="6" w:name="_Toc14776"/>
      <w:r w:rsidRPr="0078582A">
        <w:rPr>
          <w:rFonts w:ascii="Arial" w:hAnsi="Arial" w:cs="Arial" w:hint="default"/>
          <w:color w:val="2F5496" w:themeColor="accent5" w:themeShade="BF"/>
          <w:sz w:val="22"/>
          <w:szCs w:val="22"/>
          <w:lang w:val="es-CR"/>
        </w:rPr>
        <w:t>¿Cuáles son las condiciones de vulnerabilidad que pueden llevar a dificultades para garantizar los derechos de la niñez y adolescencia?</w:t>
      </w:r>
      <w:bookmarkEnd w:id="6"/>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Como bien se indica en la </w:t>
      </w:r>
      <w:hyperlink r:id="rId15" w:history="1">
        <w:r w:rsidRPr="0078582A">
          <w:rPr>
            <w:rStyle w:val="Hyperlink"/>
            <w:rFonts w:ascii="Arial" w:hAnsi="Arial" w:cs="Arial"/>
            <w:sz w:val="22"/>
            <w:lang w:val="es-CR"/>
          </w:rPr>
          <w:t>Política Nacional para la Niñez y Adolescencia Costa Rica 2009-2021</w:t>
        </w:r>
      </w:hyperlink>
      <w:r w:rsidRPr="0078582A">
        <w:rPr>
          <w:rFonts w:ascii="Arial" w:hAnsi="Arial" w:cs="Arial"/>
          <w:sz w:val="22"/>
          <w:lang w:val="es-CR"/>
        </w:rPr>
        <w:t>, la condición de minoría de edad marca la necesidad de protección especial por parte del Estado para garantizar la equidad (PNNA, 2009). En otras palabras, la niñez y adolescencia son etapas de la vida de una persona que representan en sí mismas una condición especial, diferente a la adulta, y, por ende, suponen un trato diferenciado para la garantía de derechos.</w:t>
      </w:r>
    </w:p>
    <w:p w:rsidR="003F7D67" w:rsidRPr="0078582A" w:rsidRDefault="003F7D67" w:rsidP="003F7D67">
      <w:pPr>
        <w:spacing w:before="120" w:line="380" w:lineRule="exact"/>
        <w:jc w:val="both"/>
        <w:rPr>
          <w:rFonts w:ascii="Arial" w:hAnsi="Arial" w:cs="Arial"/>
          <w:sz w:val="22"/>
          <w:lang w:val="es-CR"/>
        </w:rPr>
      </w:pPr>
      <w:r w:rsidRPr="0078582A">
        <w:rPr>
          <w:rFonts w:ascii="Arial" w:hAnsi="Arial" w:cs="Arial"/>
          <w:sz w:val="22"/>
          <w:lang w:val="es-CR"/>
        </w:rPr>
        <w:t xml:space="preserve">Los problemas relacionados con los niños, niñas y adolescentes en cada cantón nacen de esa condición especial, pero se ven reforzados por cuestiones particulares que tienen su origen en situaciones de riesgo o vulnerabilidad social. Así, y según se propone en el </w:t>
      </w:r>
      <w:hyperlink r:id="rId16" w:history="1">
        <w:r w:rsidRPr="0078582A">
          <w:rPr>
            <w:rStyle w:val="Hyperlink"/>
            <w:rFonts w:ascii="Arial" w:hAnsi="Arial" w:cs="Arial"/>
            <w:sz w:val="22"/>
            <w:lang w:val="es-CR"/>
          </w:rPr>
          <w:t>VIII Informe Estado de los Derechos de la Niñez y Adolescencia - EDNA</w:t>
        </w:r>
      </w:hyperlink>
      <w:r w:rsidRPr="0078582A">
        <w:rPr>
          <w:rFonts w:ascii="Arial" w:hAnsi="Arial" w:cs="Arial"/>
          <w:sz w:val="22"/>
          <w:lang w:val="es-CR"/>
        </w:rPr>
        <w:t xml:space="preserve"> (UCR/UNICEF, 2015, p. 197), en las últimos años Costa Rica ha sufrido profundos cambios estructurales en la economía y en la sociedad que han contribuido a la fragmentación social y que han fortalecido las condiciones de vulnerabilidad de la personas menores de edad:</w:t>
      </w:r>
    </w:p>
    <w:p w:rsidR="003F7D67" w:rsidRPr="0078582A" w:rsidRDefault="003F7D67" w:rsidP="003F7D67">
      <w:pPr>
        <w:spacing w:before="120" w:line="380" w:lineRule="exact"/>
        <w:ind w:left="425"/>
        <w:jc w:val="both"/>
        <w:rPr>
          <w:rFonts w:ascii="Arial" w:hAnsi="Arial" w:cs="Arial"/>
          <w:i/>
          <w:iCs/>
          <w:sz w:val="22"/>
          <w:lang w:val="es-CR"/>
        </w:rPr>
      </w:pPr>
      <w:r w:rsidRPr="0078582A">
        <w:rPr>
          <w:rFonts w:ascii="Arial" w:hAnsi="Arial" w:cs="Arial"/>
          <w:i/>
          <w:iCs/>
          <w:sz w:val="22"/>
          <w:lang w:val="es-CR"/>
        </w:rPr>
        <w:t>(...) la vulnerabilidad es (…) la existencia de un conjunto de factores que forman parte del entorno económico, social y político, y la cultura; (…) representan una probabilidad o riesgo para que se vea dañada o afectada su integridad física y mental y sus condiciones de bienestar (UCR/UNICEF, 2015, pp. 199-200).</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 xml:space="preserve">El riesgo social es una etapa previa a la violación del derecho, supone una </w:t>
      </w:r>
      <w:proofErr w:type="gramStart"/>
      <w:r w:rsidRPr="0078582A">
        <w:rPr>
          <w:rFonts w:ascii="Arial" w:hAnsi="Arial" w:cs="Arial"/>
          <w:sz w:val="22"/>
          <w:lang w:val="es-CR"/>
        </w:rPr>
        <w:t>vulnerabilidad</w:t>
      </w:r>
      <w:proofErr w:type="gramEnd"/>
      <w:r w:rsidRPr="0078582A">
        <w:rPr>
          <w:rFonts w:ascii="Arial" w:hAnsi="Arial" w:cs="Arial"/>
          <w:sz w:val="22"/>
          <w:lang w:val="es-CR"/>
        </w:rPr>
        <w:t xml:space="preserve"> pero, a la vez, una oportunidad para prevenir esa violación. De ahí la importancia de conocer las situaciones de riesgo social asociadas a las problemáticas. </w:t>
      </w:r>
    </w:p>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Sigue el cuadro-resumen de las problemáticas que afectan a los niños, niñas y adolescentes y las situaciones de riesgo social que se relacionan con cada una de ellas:</w:t>
      </w:r>
    </w:p>
    <w:tbl>
      <w:tblPr>
        <w:tblStyle w:val="TableGrid"/>
        <w:tblW w:w="8807" w:type="dxa"/>
        <w:tblLayout w:type="fixed"/>
        <w:tblLook w:val="04A0" w:firstRow="1" w:lastRow="0" w:firstColumn="1" w:lastColumn="0" w:noHBand="0" w:noVBand="1"/>
      </w:tblPr>
      <w:tblGrid>
        <w:gridCol w:w="2341"/>
        <w:gridCol w:w="6466"/>
      </w:tblGrid>
      <w:tr w:rsidR="003F7D67" w:rsidRPr="0078582A" w:rsidTr="006D5751">
        <w:tc>
          <w:tcPr>
            <w:tcW w:w="2341"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Problema</w:t>
            </w:r>
          </w:p>
        </w:tc>
        <w:tc>
          <w:tcPr>
            <w:tcW w:w="6466"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Comentario sobre el riesgo social</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Este problema de salud está marcado por el sedentarismo y la falta de acceso a alimentos de buena calidad nutricional (alimentación basada en carbohidratos y grasas, pobre en verduras, frutas y proteínas). Se relaciona con el no acceso a espacios exteriores y actividades recreativas, ya sea por la falta de ellos en la comunidad o porque se trata de áreas tomadas por grupos delictivos, por ejemplo.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El sistema educativo formal costarricense muestra dos momentos de riesgo de expulsión: séptimo año del tercer ciclo de Educación General Básica y décimo año de Educación Diversificada. Esto resulta particularmente grave puesto que estar fuera del sistema educativo formal es un factor de riesgo social asociado a muchas otras problemáticas, como se puede ver en este cuadro.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Algunos factores de riesgo de expulsión son: la falta de apoyo académico y psicológico en el hogar; la falta de apoyo académico y psicológico en el centro educativo; el bullying y otras formas de abuso y violencia en el centro educativo; la violencia intrafamiliar, incluidos la negligencia y el abandono.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adolescente es especialmente vulnerable a los embarazos no deseados, que limitan sus capacidades de desarrollo personal, cuando ha sido expulsada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Existe también un riesgo asociado a la desintegración familiar, a la violencia intrafamiliar, al abuso y la negligencia, pues se relacionan con el riesgo de embarazo asociado a una imagen negativa de sí misma (problemas de autoestima) y la falta de una persona adulta de referencia (a quien le tenga confianza y con quien pueda contar en caso de necesitar apoyo).</w:t>
            </w: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lastRenderedPageBreak/>
              <w:t>Adolescentes madres</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maternidad temprana supone un grave riesgo social, pues la adolescente madre ve limitado el acceso a la educación, a la salud y al trabajo, y su hijo o hija sufre de falta de atención en salud y alternativas de cuido.</w:t>
            </w:r>
          </w:p>
        </w:tc>
      </w:tr>
      <w:tr w:rsidR="003F7D67" w:rsidRPr="0078582A" w:rsidTr="006D5751">
        <w:trPr>
          <w:trHeight w:val="1563"/>
        </w:trPr>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c>
          <w:tcPr>
            <w:tcW w:w="6466"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La expulsión del sistema educativo formal limita las posibilidades de encontrar empleo de calidad, y hace a las y los adolescentes especialmente vulnerables a la actividad delictiva y al abuso de sustancias psicoactivas.</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El riesgo también está asociado a la desintegración familiar, a la violencia intrafamiliar, al abuso y la negligencia, y a la falta de una persona adulta de referencia (a quien le tenga confianza y con quien pueda contar en caso de necesitar apoyo).</w:t>
            </w:r>
          </w:p>
        </w:tc>
      </w:tr>
      <w:tr w:rsidR="003F7D67" w:rsidRPr="0078582A" w:rsidTr="006D5751">
        <w:trPr>
          <w:trHeight w:val="1380"/>
        </w:trPr>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c>
          <w:tcPr>
            <w:tcW w:w="6466"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4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c>
          <w:tcPr>
            <w:tcW w:w="6466"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En esta línea se incluyen las distintas violencias a las que están expuestos los niños, niñas y adolescentes, por ejemplo: intrafamiliar; en las relaciones de pareja; de género; bullying y ciberbullying; entre pandillas; en el marco del crimen organizado y el narcotráfico.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Este riesgo se asocia a la expulsión del sistema educativo formal y a la falta de integración positiva en un grupo de apoyo (comunitario, por ejemplo) o de una persona adulta de referencia (como podría ser un docente, es decir, una persona a quien le tenga confianza y con quien pueda contar en caso de necesitar apoyo). Igualmente se relaciona con la cultura de masculinidad y los estereotipos de género, al modelo de autoridad paternal imperante, a la dificultad para la resolución de conflictos, entre otros cuyo detalle se puede ver en el documento </w:t>
            </w:r>
            <w:hyperlink r:id="rId17" w:history="1">
              <w:r w:rsidRPr="0078582A">
                <w:rPr>
                  <w:rStyle w:val="Hyperlink"/>
                  <w:rFonts w:ascii="Arial" w:hAnsi="Arial" w:cs="Arial"/>
                  <w:sz w:val="20"/>
                  <w:lang w:val="es-CR"/>
                </w:rPr>
                <w:t>Plan Nacional para el Desarrollo de Estrategias de Prevención y Erradicación de la Violencia Contra Niños, Niñas y Adolescentes Costa Rica 2017-2019</w:t>
              </w:r>
            </w:hyperlink>
            <w:r w:rsidRPr="0078582A">
              <w:rPr>
                <w:rFonts w:ascii="Arial" w:hAnsi="Arial" w:cs="Arial"/>
                <w:sz w:val="20"/>
                <w:lang w:val="es-CR"/>
              </w:rPr>
              <w:t xml:space="preserve"> (CNNA, PANI y UNICEF, 2017)</w:t>
            </w:r>
          </w:p>
        </w:tc>
      </w:tr>
    </w:tbl>
    <w:p w:rsidR="003F7D67" w:rsidRPr="0078582A" w:rsidRDefault="003F7D67" w:rsidP="003F7D67">
      <w:pPr>
        <w:spacing w:before="120" w:after="120" w:line="380" w:lineRule="exact"/>
        <w:jc w:val="both"/>
        <w:rPr>
          <w:rFonts w:ascii="Arial" w:hAnsi="Arial" w:cs="Arial"/>
          <w:sz w:val="22"/>
          <w:lang w:val="es-CR"/>
        </w:rPr>
      </w:pPr>
      <w:r w:rsidRPr="0078582A">
        <w:rPr>
          <w:rFonts w:ascii="Arial" w:hAnsi="Arial" w:cs="Arial"/>
          <w:sz w:val="22"/>
          <w:lang w:val="es-CR"/>
        </w:rPr>
        <w:t>La prevención dirigida a la protección de los derechos de niñas, niños y adolescentes implica atender esos riesgos por medio de acciones individuales y/o comunitarias, o mediante políticas públicas que favorezcan el desarrollo de las capacidades sociales.</w:t>
      </w:r>
    </w:p>
    <w:p w:rsidR="003F7D67" w:rsidRPr="0078582A" w:rsidRDefault="003F7D67" w:rsidP="003F7D67">
      <w:pPr>
        <w:spacing w:before="120" w:line="380" w:lineRule="exact"/>
        <w:jc w:val="both"/>
        <w:rPr>
          <w:rFonts w:ascii="Arial" w:hAnsi="Arial" w:cs="Arial"/>
          <w:sz w:val="22"/>
          <w:lang w:val="es-CR"/>
        </w:rPr>
      </w:pPr>
    </w:p>
    <w:p w:rsidR="003F7D67" w:rsidRPr="0078582A" w:rsidRDefault="003F7D67" w:rsidP="003F7D67">
      <w:pPr>
        <w:spacing w:before="120" w:line="380" w:lineRule="exact"/>
        <w:jc w:val="both"/>
        <w:rPr>
          <w:rFonts w:ascii="Arial" w:hAnsi="Arial" w:cs="Arial"/>
          <w:sz w:val="22"/>
          <w:lang w:val="es-CR"/>
        </w:rPr>
        <w:sectPr w:rsidR="003F7D67" w:rsidRPr="0078582A" w:rsidSect="003E1184">
          <w:pgSz w:w="12191" w:h="15819"/>
          <w:pgMar w:top="851" w:right="1800" w:bottom="851" w:left="1800" w:header="720" w:footer="720" w:gutter="0"/>
          <w:cols w:space="720"/>
          <w:docGrid w:linePitch="360"/>
        </w:sectPr>
      </w:pPr>
    </w:p>
    <w:p w:rsidR="003F7D67" w:rsidRPr="0078582A" w:rsidRDefault="003F7D67" w:rsidP="003F7D67">
      <w:pPr>
        <w:pStyle w:val="Heading1"/>
        <w:shd w:val="clear" w:color="auto" w:fill="DAE3F3" w:themeFill="accent5" w:themeFillTint="32"/>
        <w:spacing w:before="120" w:after="120" w:line="320" w:lineRule="exact"/>
        <w:rPr>
          <w:rFonts w:ascii="Arial" w:hAnsi="Arial" w:cs="Arial"/>
          <w:sz w:val="32"/>
          <w:szCs w:val="32"/>
          <w:lang w:val="es-CR"/>
        </w:rPr>
      </w:pPr>
      <w:bookmarkStart w:id="7" w:name="_Toc19588"/>
      <w:bookmarkStart w:id="8" w:name="_Enfoque_de_derechos"/>
      <w:r w:rsidRPr="0078582A">
        <w:rPr>
          <w:rFonts w:ascii="Arial" w:hAnsi="Arial" w:cs="Arial"/>
          <w:sz w:val="32"/>
          <w:szCs w:val="32"/>
          <w:lang w:val="es-CR"/>
        </w:rPr>
        <w:lastRenderedPageBreak/>
        <w:t>Enfoque de derechos</w:t>
      </w:r>
      <w:bookmarkEnd w:id="7"/>
    </w:p>
    <w:bookmarkEnd w:id="8"/>
    <w:p w:rsidR="003F7D67" w:rsidRPr="0078582A" w:rsidRDefault="003F7D67" w:rsidP="003F7D67">
      <w:pPr>
        <w:shd w:val="clear" w:color="auto" w:fill="DAE3F3" w:themeFill="accent5" w:themeFillTint="32"/>
        <w:spacing w:before="120" w:after="120" w:line="320" w:lineRule="exact"/>
        <w:rPr>
          <w:rFonts w:ascii="Arial" w:hAnsi="Arial" w:cs="Arial"/>
          <w:szCs w:val="24"/>
          <w:lang w:val="es-CR"/>
        </w:rPr>
      </w:pPr>
      <w:r w:rsidRPr="0078582A">
        <w:rPr>
          <w:rFonts w:ascii="Arial" w:hAnsi="Arial" w:cs="Arial"/>
          <w:szCs w:val="24"/>
          <w:lang w:val="es-CR"/>
        </w:rPr>
        <w:t>La protección de los derechos de los niños, niñas y adolescentes de mi cantón empieza por garantizar que se llegará antes de que se dé la vulneración a esos derechos.</w:t>
      </w:r>
    </w:p>
    <w:p w:rsidR="00C359DD" w:rsidRDefault="00C359DD" w:rsidP="00C359DD">
      <w:pPr>
        <w:spacing w:before="120" w:line="380" w:lineRule="exact"/>
        <w:jc w:val="center"/>
        <w:rPr>
          <w:rFonts w:ascii="Arial" w:hAnsi="Arial" w:cs="Arial"/>
          <w:b/>
          <w:bCs/>
          <w:sz w:val="28"/>
          <w:szCs w:val="28"/>
          <w:lang w:val="es-CR"/>
        </w:rPr>
      </w:pPr>
    </w:p>
    <w:p w:rsidR="00C359DD" w:rsidRDefault="00C359DD" w:rsidP="00C359DD">
      <w:pPr>
        <w:spacing w:before="120" w:line="380" w:lineRule="exact"/>
        <w:jc w:val="center"/>
        <w:rPr>
          <w:rFonts w:ascii="Arial" w:hAnsi="Arial" w:cs="Arial"/>
          <w:b/>
          <w:bCs/>
          <w:sz w:val="28"/>
          <w:szCs w:val="28"/>
          <w:lang w:val="es-CR"/>
        </w:rPr>
      </w:pPr>
      <w:r w:rsidRPr="00C359DD">
        <w:rPr>
          <w:rFonts w:ascii="Arial" w:hAnsi="Arial" w:cs="Arial"/>
          <w:b/>
          <w:bCs/>
          <w:sz w:val="28"/>
          <w:szCs w:val="28"/>
          <w:lang w:val="es-CR"/>
        </w:rPr>
        <w:t>En mi cantón comprendemos la importancia de la prevención y promovemos activamente el bienestar de nuestros niños, niñas y adolescentes.</w:t>
      </w:r>
    </w:p>
    <w:p w:rsidR="00C359DD" w:rsidRDefault="00C359DD" w:rsidP="003F7D67">
      <w:pPr>
        <w:widowControl w:val="0"/>
        <w:autoSpaceDE w:val="0"/>
        <w:autoSpaceDN w:val="0"/>
        <w:adjustRightInd w:val="0"/>
        <w:spacing w:before="120" w:line="380" w:lineRule="exact"/>
        <w:jc w:val="both"/>
        <w:rPr>
          <w:rFonts w:ascii="Arial" w:hAnsi="Arial" w:cs="Arial"/>
          <w:sz w:val="22"/>
          <w:lang w:val="es-CR"/>
        </w:rPr>
      </w:pP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El bienestar de los niños, niñas y adolescentes sólo puede asegurarse mediante acciones preventivas que impidan que se llegue a situaciones de vulneración de sus derechos. Evidentemente, la institucionalidad debe garantizar también que se atiendan los casos en que ya se ha incurrido en una vulneración, pero la situación ideal es aquella en que podemos brindar a nuestra niñez y adolescencia la protección efectiva y eficiente que salvaguarde su bienestar.</w:t>
      </w:r>
    </w:p>
    <w:p w:rsidR="003F7D67" w:rsidRDefault="003F7D67" w:rsidP="003F7D67">
      <w:pPr>
        <w:widowControl w:val="0"/>
        <w:pBdr>
          <w:bottom w:val="single" w:sz="4" w:space="0" w:color="auto"/>
        </w:pBdr>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Este trabajo preventivo debe hacerse desde un enfoque de derechos, entendido como el marco conceptual basado en las normas de derechos humanos que reconoce a las personas menores de edad como sujetos de todos los derechos inherentes al ser humano, hombre, mujer, niño o niña y adolescentes (</w:t>
      </w:r>
      <w:hyperlink r:id="rId18"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w:t>
      </w:r>
    </w:p>
    <w:p w:rsidR="003E1184" w:rsidRPr="0078582A" w:rsidRDefault="003E1184" w:rsidP="003F7D67">
      <w:pPr>
        <w:widowControl w:val="0"/>
        <w:pBdr>
          <w:bottom w:val="single" w:sz="4" w:space="0" w:color="auto"/>
        </w:pBdr>
        <w:autoSpaceDE w:val="0"/>
        <w:autoSpaceDN w:val="0"/>
        <w:adjustRightInd w:val="0"/>
        <w:spacing w:before="120" w:line="380" w:lineRule="exact"/>
        <w:jc w:val="both"/>
        <w:rPr>
          <w:rFonts w:ascii="Arial" w:hAnsi="Arial" w:cs="Arial"/>
          <w:sz w:val="22"/>
          <w:highlight w:val="yellow"/>
          <w:lang w:val="es-CR"/>
        </w:rPr>
      </w:pP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9" w:name="_Toc13046"/>
      <w:r w:rsidRPr="0078582A">
        <w:rPr>
          <w:rFonts w:ascii="Arial" w:hAnsi="Arial" w:cs="Arial" w:hint="default"/>
          <w:color w:val="2F5496" w:themeColor="accent5" w:themeShade="BF"/>
          <w:sz w:val="22"/>
          <w:szCs w:val="22"/>
          <w:lang w:val="es-CR"/>
        </w:rPr>
        <w:t>El derecho de los niños, niñas y adolescentes al bienestar</w:t>
      </w:r>
      <w:bookmarkEnd w:id="9"/>
    </w:p>
    <w:p w:rsidR="003F7D67" w:rsidRPr="0078582A" w:rsidRDefault="003F7D67" w:rsidP="003F7D67">
      <w:pPr>
        <w:widowControl w:val="0"/>
        <w:autoSpaceDE w:val="0"/>
        <w:autoSpaceDN w:val="0"/>
        <w:adjustRightInd w:val="0"/>
        <w:spacing w:before="120" w:line="380" w:lineRule="exact"/>
        <w:jc w:val="both"/>
        <w:rPr>
          <w:rFonts w:ascii="Arial" w:hAnsi="Arial" w:cs="Arial"/>
          <w:i/>
          <w:iCs/>
          <w:sz w:val="22"/>
          <w:lang w:val="es-CR"/>
        </w:rPr>
      </w:pPr>
      <w:r w:rsidRPr="0078582A">
        <w:rPr>
          <w:rFonts w:ascii="Arial" w:hAnsi="Arial" w:cs="Arial"/>
          <w:sz w:val="22"/>
          <w:lang w:val="es-CR"/>
        </w:rPr>
        <w:t xml:space="preserve">En su inciso segundo, el artículo 3 de la </w:t>
      </w:r>
      <w:hyperlink r:id="rId19"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señala el compromiso que tienen los Estados parte de la misma de “</w:t>
      </w:r>
      <w:r w:rsidRPr="0078582A">
        <w:rPr>
          <w:rFonts w:ascii="Arial" w:hAnsi="Arial" w:cs="Arial"/>
          <w:i/>
          <w:iCs/>
          <w:sz w:val="22"/>
          <w:lang w:val="es-CR"/>
        </w:rPr>
        <w:t>asegurar al niño la protección y el cuidado que sean necesarios para su bienestar (…) y, con ese fin, tomarán todas las medidas legislativas y administrativas adecuadas”.</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De acuerdo al marco normativo de los derechos humanos, el bienestar de los niños, niñas y adolescentes sólo puede darse si se cumplen </w:t>
      </w:r>
      <w:hyperlink r:id="rId20" w:history="1">
        <w:r w:rsidRPr="0078582A">
          <w:rPr>
            <w:rStyle w:val="Hyperlink"/>
            <w:rFonts w:ascii="Arial" w:hAnsi="Arial" w:cs="Arial"/>
            <w:sz w:val="22"/>
            <w:lang w:val="es-CR"/>
          </w:rPr>
          <w:t>cuatro principios generales</w:t>
        </w:r>
      </w:hyperlink>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La no discriminación</w:t>
      </w:r>
      <w:r w:rsidRPr="0078582A">
        <w:rPr>
          <w:rFonts w:ascii="Arial" w:hAnsi="Arial" w:cs="Arial"/>
          <w:sz w:val="22"/>
          <w:lang w:val="es-CR"/>
        </w:rPr>
        <w:t xml:space="preserve">. Según el artículo 2 de la </w:t>
      </w:r>
      <w:hyperlink r:id="rId21"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los Estados parte </w:t>
      </w:r>
      <w:r w:rsidRPr="0078582A">
        <w:rPr>
          <w:rFonts w:ascii="Arial" w:hAnsi="Arial" w:cs="Arial"/>
          <w:i/>
          <w:iCs/>
          <w:sz w:val="22"/>
          <w:lang w:val="es-CR"/>
        </w:rPr>
        <w:t xml:space="preserve">“respetarán los derechos enunciados en la presente </w:t>
      </w:r>
      <w:r w:rsidRPr="0078582A">
        <w:rPr>
          <w:rFonts w:ascii="Arial" w:hAnsi="Arial" w:cs="Arial"/>
          <w:i/>
          <w:iCs/>
          <w:sz w:val="22"/>
          <w:lang w:val="es-CR"/>
        </w:rPr>
        <w:lastRenderedPageBreak/>
        <w:t>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w:t>
      </w:r>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El interés superior del niño/la niña</w:t>
      </w:r>
      <w:r w:rsidRPr="0078582A">
        <w:rPr>
          <w:rFonts w:ascii="Arial" w:hAnsi="Arial" w:cs="Arial"/>
          <w:sz w:val="22"/>
          <w:lang w:val="es-CR"/>
        </w:rPr>
        <w:t xml:space="preserve">. Este principio se entiende como el conjunto de acciones y procesos dirigidos a garantizar el desarrollo integral, la vida digna, las condiciones materiales y afectivas que permitan a niñas y niños vivir plena y dignamente. El artículo 3, inciso 1, indica que </w:t>
      </w:r>
      <w:r w:rsidRPr="0078582A">
        <w:rPr>
          <w:rFonts w:ascii="Arial" w:hAnsi="Arial" w:cs="Arial"/>
          <w:i/>
          <w:iCs/>
          <w:sz w:val="22"/>
          <w:lang w:val="es-CR"/>
        </w:rPr>
        <w:t>“todas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78582A">
        <w:rPr>
          <w:rFonts w:ascii="Arial" w:hAnsi="Arial" w:cs="Arial"/>
          <w:sz w:val="22"/>
          <w:lang w:val="es-CR"/>
        </w:rPr>
        <w:t>.</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Supervivencia y desarrollo</w:t>
      </w:r>
      <w:r w:rsidRPr="0078582A">
        <w:rPr>
          <w:rFonts w:ascii="Arial" w:hAnsi="Arial" w:cs="Arial"/>
          <w:sz w:val="22"/>
          <w:lang w:val="es-CR"/>
        </w:rPr>
        <w:t xml:space="preserve">, que se ampara en el artículo 6 de la </w:t>
      </w:r>
      <w:hyperlink r:id="rId22"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y supone el acceso a recursos, aptitudes y contribuciones necesarias para la supervivencia y el pleno desarrollo, tales como recibir una alimentación adecuada, vivienda, agua potable, educación, atención primaria de la salud, tiempo libre y recreación, actividades culturales e información sobre los derechos. </w:t>
      </w:r>
    </w:p>
    <w:p w:rsidR="003F7D67" w:rsidRPr="0078582A" w:rsidRDefault="003F7D67" w:rsidP="003F7D67">
      <w:pPr>
        <w:pStyle w:val="NormalWeb"/>
        <w:numPr>
          <w:ilvl w:val="0"/>
          <w:numId w:val="1"/>
        </w:numPr>
        <w:spacing w:before="120" w:beforeAutospacing="0" w:after="0" w:afterAutospacing="0" w:line="380" w:lineRule="exact"/>
        <w:jc w:val="both"/>
        <w:rPr>
          <w:rFonts w:ascii="Arial" w:hAnsi="Arial" w:cs="Arial"/>
          <w:sz w:val="22"/>
          <w:lang w:val="es-CR"/>
        </w:rPr>
      </w:pPr>
      <w:r w:rsidRPr="0078582A">
        <w:rPr>
          <w:rFonts w:ascii="Arial" w:hAnsi="Arial" w:cs="Arial"/>
          <w:b/>
          <w:bCs/>
          <w:sz w:val="22"/>
          <w:lang w:val="es-CR"/>
        </w:rPr>
        <w:t>Respecto por las opiniones del niño</w:t>
      </w:r>
      <w:r w:rsidRPr="0078582A">
        <w:rPr>
          <w:rFonts w:ascii="Arial" w:hAnsi="Arial" w:cs="Arial"/>
          <w:sz w:val="22"/>
          <w:lang w:val="es-CR"/>
        </w:rPr>
        <w:t xml:space="preserve">, que refiere al derecho a la libertad de expresión y a expresar su opinión sobre cuestiones que afectan su vida social, económica, religiosa, cultural y política. El disfrute del derecho a la participación en el proceso de crecimiento ayuda a los NNA a promover la realización de todos sus derechos. También </w:t>
      </w:r>
      <w:proofErr w:type="gramStart"/>
      <w:r w:rsidRPr="0078582A">
        <w:rPr>
          <w:rFonts w:ascii="Arial" w:hAnsi="Arial" w:cs="Arial"/>
          <w:sz w:val="22"/>
          <w:lang w:val="es-CR"/>
        </w:rPr>
        <w:t>les</w:t>
      </w:r>
      <w:proofErr w:type="gramEnd"/>
      <w:r w:rsidRPr="0078582A">
        <w:rPr>
          <w:rFonts w:ascii="Arial" w:hAnsi="Arial" w:cs="Arial"/>
          <w:sz w:val="22"/>
          <w:lang w:val="es-CR"/>
        </w:rPr>
        <w:t xml:space="preserve"> prepara para desempeñar una función activa en la sociedad.</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0" w:name="_Toc29519"/>
      <w:r w:rsidRPr="0078582A">
        <w:rPr>
          <w:rFonts w:ascii="Arial" w:hAnsi="Arial" w:cs="Arial" w:hint="default"/>
          <w:color w:val="2F5496" w:themeColor="accent5" w:themeShade="BF"/>
          <w:sz w:val="22"/>
          <w:szCs w:val="22"/>
          <w:lang w:val="es-CR"/>
        </w:rPr>
        <w:t>¿Qué es el enfoque de derechos humanos?</w:t>
      </w:r>
      <w:bookmarkEnd w:id="10"/>
    </w:p>
    <w:p w:rsidR="003F7D67"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De acuerdo a la </w:t>
      </w:r>
      <w:hyperlink r:id="rId23"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 xml:space="preserve">, un enfoque de derechos constituye la aplicación y puesta en práctica de los estándares, principios y derechos contenidos en la </w:t>
      </w:r>
      <w:hyperlink r:id="rId24"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y el </w:t>
      </w:r>
      <w:hyperlink r:id="rId25"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así como en los demás instrumentos internacionales y nacionales de protección de derechos humanos. Impone traducir las normas y principios legales en acciones de política institucional, y transmitir una visión que toma de manera integral el tema del desarrollo de la persona menor de edad. </w:t>
      </w:r>
    </w:p>
    <w:p w:rsidR="003E1184" w:rsidRPr="0078582A" w:rsidRDefault="003E1184" w:rsidP="003F7D67">
      <w:pPr>
        <w:widowControl w:val="0"/>
        <w:autoSpaceDE w:val="0"/>
        <w:autoSpaceDN w:val="0"/>
        <w:adjustRightInd w:val="0"/>
        <w:spacing w:before="120" w:line="380" w:lineRule="exact"/>
        <w:jc w:val="both"/>
        <w:rPr>
          <w:rFonts w:ascii="Arial" w:hAnsi="Arial" w:cs="Arial"/>
          <w:sz w:val="22"/>
          <w:lang w:val="es-CR"/>
        </w:rPr>
      </w:pP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lastRenderedPageBreak/>
        <w:t xml:space="preserve">En este marco, la persona menor de edad se visualiza como sujeto activo y no simple receptor de acciones; se contempla el respeto por la diversidad desde una perspectiva universal y se rompen así los esquemas caritativos, asistenciales y las intervenciones arbitrarias o discrecionales. </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Según lo ya mencionado, mediante la utilización del enfoque de derechos como guía para la aplicación de las normas de derechos humanos, el Estado cumple con su obligación internacional de aplicar los convenios de los que se ha hecho parte y de ponerlos en práctica, y dotar de contenido presupuestario suficiente para atender las prioridades nacionales, locales y comunales relacionados con la atención y defensa de los derechos de la niñez y la adolescencia. </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Con este enfoque el Estado debe observar el problema que presentan las estructuras desiguales de poder y mantener una visión integral de los derechos de los niños, niñas y adolescentes mientras selecciona sus programas y estrategias de trabajo y establece metas para el cumplimiento pleno de los derechos de todas las personas menores de edad.</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1" w:name="_Toc9901"/>
      <w:r w:rsidRPr="0078582A">
        <w:rPr>
          <w:rFonts w:ascii="Arial" w:hAnsi="Arial" w:cs="Arial" w:hint="default"/>
          <w:color w:val="2F5496" w:themeColor="accent5" w:themeShade="BF"/>
          <w:sz w:val="22"/>
          <w:szCs w:val="22"/>
          <w:lang w:val="es-CR"/>
        </w:rPr>
        <w:t>¿Cuáles son los cuatro derechos estratégicos que vamos a considerar para continuar con nuestra labor preventiva en materia de protección de derechos?</w:t>
      </w:r>
      <w:bookmarkEnd w:id="11"/>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Siguiendo los derechos priorizados en la </w:t>
      </w:r>
      <w:hyperlink r:id="rId26" w:history="1">
        <w:r w:rsidRPr="0078582A">
          <w:rPr>
            <w:rStyle w:val="Hyperlink"/>
            <w:rFonts w:ascii="Arial" w:hAnsi="Arial" w:cs="Arial"/>
            <w:sz w:val="22"/>
            <w:lang w:val="es-CR"/>
          </w:rPr>
          <w:t>Agenda Nacional de Niñez y Adolescencia (Metas y compromisos 2015-2021)</w:t>
        </w:r>
      </w:hyperlink>
      <w:r w:rsidRPr="0078582A">
        <w:rPr>
          <w:rFonts w:ascii="Arial" w:hAnsi="Arial" w:cs="Arial"/>
          <w:sz w:val="22"/>
          <w:lang w:val="es-CR"/>
        </w:rPr>
        <w:t>, los derechos estratégicos que se trabajarán son: Educa</w:t>
      </w:r>
      <w:r>
        <w:rPr>
          <w:rFonts w:ascii="Arial" w:hAnsi="Arial" w:cs="Arial"/>
          <w:sz w:val="22"/>
          <w:lang w:val="es-CR"/>
        </w:rPr>
        <w:t>ción; Salud integral; Cultura</w:t>
      </w:r>
      <w:r w:rsidRPr="0078582A">
        <w:rPr>
          <w:rFonts w:ascii="Arial" w:hAnsi="Arial" w:cs="Arial"/>
          <w:sz w:val="22"/>
          <w:lang w:val="es-CR"/>
        </w:rPr>
        <w:t>, juego</w:t>
      </w:r>
      <w:r>
        <w:rPr>
          <w:rFonts w:ascii="Arial" w:hAnsi="Arial" w:cs="Arial"/>
          <w:sz w:val="22"/>
          <w:lang w:val="es-CR"/>
        </w:rPr>
        <w:t>, deporte</w:t>
      </w:r>
      <w:r w:rsidRPr="0078582A">
        <w:rPr>
          <w:rFonts w:ascii="Arial" w:hAnsi="Arial" w:cs="Arial"/>
          <w:sz w:val="22"/>
          <w:lang w:val="es-CR"/>
        </w:rPr>
        <w:t xml:space="preserve"> y recreación; Desarrollo </w:t>
      </w:r>
      <w:r>
        <w:rPr>
          <w:rFonts w:ascii="Arial" w:hAnsi="Arial" w:cs="Arial"/>
          <w:sz w:val="22"/>
          <w:lang w:val="es-CR"/>
        </w:rPr>
        <w:t>integral</w:t>
      </w:r>
      <w:r w:rsidRPr="0078582A">
        <w:rPr>
          <w:rFonts w:ascii="Arial" w:hAnsi="Arial" w:cs="Arial"/>
          <w:sz w:val="22"/>
          <w:lang w:val="es-CR"/>
        </w:rPr>
        <w:t xml:space="preserve">. Esto también está de acuerdo a los postulados de la </w:t>
      </w:r>
      <w:hyperlink r:id="rId27" w:history="1">
        <w:r w:rsidRPr="0078582A">
          <w:rPr>
            <w:rStyle w:val="Hyperlink"/>
            <w:rFonts w:ascii="Arial" w:hAnsi="Arial" w:cs="Arial"/>
            <w:sz w:val="22"/>
            <w:lang w:val="es-CR"/>
          </w:rPr>
          <w:t>Política Nacional para la Niñez y la Adolescencia Costa Rica 2009-2021</w:t>
        </w:r>
      </w:hyperlink>
      <w:r w:rsidRPr="0078582A">
        <w:rPr>
          <w:rFonts w:ascii="Arial" w:hAnsi="Arial" w:cs="Arial"/>
          <w:sz w:val="22"/>
          <w:lang w:val="es-CR"/>
        </w:rPr>
        <w:t>.</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Ahora bien, para lograr su acreditación de R-CAI II, cada municipio debe seleccionar con cual derecho va a trabajar o, en su defecto, si prefiere enfocar sus esfuerzos en una población especialmente vulnerable, atendiendo a los cuatro derechos priorizados.</w:t>
      </w:r>
    </w:p>
    <w:p w:rsidR="003F7D67" w:rsidRPr="0078582A" w:rsidRDefault="003F7D67" w:rsidP="003F7D67">
      <w:pPr>
        <w:widowControl w:val="0"/>
        <w:autoSpaceDE w:val="0"/>
        <w:autoSpaceDN w:val="0"/>
        <w:adjustRightInd w:val="0"/>
        <w:spacing w:before="120" w:line="380" w:lineRule="exact"/>
        <w:jc w:val="both"/>
        <w:rPr>
          <w:rFonts w:ascii="Arial" w:hAnsi="Arial" w:cs="Arial"/>
          <w:sz w:val="22"/>
          <w:lang w:val="es-CR"/>
        </w:rPr>
      </w:pPr>
      <w:r w:rsidRPr="0078582A">
        <w:rPr>
          <w:rFonts w:ascii="Arial" w:hAnsi="Arial" w:cs="Arial"/>
          <w:sz w:val="22"/>
          <w:lang w:val="es-CR"/>
        </w:rPr>
        <w:t xml:space="preserve">Sigue una descripción sobre los cuatro derechos priorizados: </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 xml:space="preserve">Educación </w:t>
      </w:r>
    </w:p>
    <w:p w:rsidR="003F7D67" w:rsidRPr="0078582A" w:rsidRDefault="003F7D67" w:rsidP="003F7D67">
      <w:pPr>
        <w:widowControl w:val="0"/>
        <w:autoSpaceDE w:val="0"/>
        <w:autoSpaceDN w:val="0"/>
        <w:adjustRightInd w:val="0"/>
        <w:spacing w:before="120" w:line="380" w:lineRule="exact"/>
        <w:jc w:val="both"/>
        <w:rPr>
          <w:rFonts w:ascii="Arial" w:eastAsia="Arial Unicode MS" w:hAnsi="Arial" w:cs="Arial"/>
          <w:sz w:val="22"/>
          <w:lang w:val="es-CR"/>
        </w:rPr>
      </w:pPr>
      <w:r w:rsidRPr="0078582A">
        <w:rPr>
          <w:rFonts w:ascii="Arial" w:eastAsia="Arial Unicode MS" w:hAnsi="Arial" w:cs="Arial"/>
          <w:sz w:val="22"/>
          <w:lang w:val="es-CR"/>
        </w:rPr>
        <w:t xml:space="preserve">La </w:t>
      </w:r>
      <w:hyperlink r:id="rId28"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reconoce el derecho a la educación en su artículo 28, a fin de que se pueda ejercer progresivamente y en condiciones de igualdad de oportunidades. En su artículo 29 indica que la educación de los niños, niñas y adolescentes debe estar encaminada a:</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lastRenderedPageBreak/>
        <w:t xml:space="preserve">a) </w:t>
      </w:r>
      <w:r w:rsidRPr="0078582A">
        <w:rPr>
          <w:rFonts w:ascii="Arial" w:hAnsi="Arial" w:cs="Arial"/>
          <w:sz w:val="22"/>
          <w:lang w:val="es-CR"/>
        </w:rPr>
        <w:tab/>
        <w:t xml:space="preserve">Desarrollar la personalidad, las aptitudes y la capacidad mental y física hasta el máximo de sus posibilidades.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b) </w:t>
      </w:r>
      <w:r w:rsidRPr="0078582A">
        <w:rPr>
          <w:rFonts w:ascii="Arial" w:hAnsi="Arial" w:cs="Arial"/>
          <w:sz w:val="22"/>
          <w:lang w:val="es-CR"/>
        </w:rPr>
        <w:tab/>
        <w:t xml:space="preserve">Inculcarles el respeto de los derechos humanos y las libertades fundamentales y de los principios consagrados en la Carta de las Naciones Unidas.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c) </w:t>
      </w:r>
      <w:r w:rsidRPr="0078582A">
        <w:rPr>
          <w:rFonts w:ascii="Arial" w:hAnsi="Arial" w:cs="Arial"/>
          <w:sz w:val="22"/>
          <w:lang w:val="es-CR"/>
        </w:rPr>
        <w:tab/>
        <w:t>Inculcarles el respeto de sus padres, de su propia identidad cultural, de su idioma y sus valores, de los valores nacionales del país en que vive, del país del que sea originario y de las civilizaciones distintas de la suya.</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d) </w:t>
      </w:r>
      <w:r w:rsidRPr="0078582A">
        <w:rPr>
          <w:rFonts w:ascii="Arial" w:hAnsi="Arial" w:cs="Arial"/>
          <w:sz w:val="22"/>
          <w:lang w:val="es-CR"/>
        </w:rPr>
        <w:tab/>
      </w:r>
      <w:proofErr w:type="gramStart"/>
      <w:r w:rsidRPr="0078582A">
        <w:rPr>
          <w:rFonts w:ascii="Arial" w:hAnsi="Arial" w:cs="Arial"/>
          <w:sz w:val="22"/>
          <w:lang w:val="es-CR"/>
        </w:rPr>
        <w:t>Prepararles</w:t>
      </w:r>
      <w:proofErr w:type="gramEnd"/>
      <w:r w:rsidRPr="0078582A">
        <w:rPr>
          <w:rFonts w:ascii="Arial" w:hAnsi="Arial" w:cs="Arial"/>
          <w:sz w:val="22"/>
          <w:lang w:val="es-CR"/>
        </w:rPr>
        <w:t xml:space="preserve"> para asumir una vida responsable en una sociedad libre, con espíritu de comprensión, paz, tolerancia, igualdad de los sexos y amistad entre todos los pueblos, grupos étnicos, nacionales y religiosos y personas de origen indígena. </w:t>
      </w:r>
    </w:p>
    <w:p w:rsidR="003F7D67" w:rsidRPr="0078582A" w:rsidRDefault="003F7D67" w:rsidP="003F7D67">
      <w:pPr>
        <w:pStyle w:val="NormalWeb"/>
        <w:spacing w:before="120" w:beforeAutospacing="0" w:after="0" w:afterAutospacing="0" w:line="380" w:lineRule="exact"/>
        <w:ind w:left="425" w:hanging="425"/>
        <w:jc w:val="both"/>
        <w:rPr>
          <w:rFonts w:ascii="Arial" w:hAnsi="Arial" w:cs="Arial"/>
          <w:sz w:val="22"/>
          <w:lang w:val="es-CR"/>
        </w:rPr>
      </w:pPr>
      <w:r w:rsidRPr="0078582A">
        <w:rPr>
          <w:rFonts w:ascii="Arial" w:hAnsi="Arial" w:cs="Arial"/>
          <w:sz w:val="22"/>
          <w:lang w:val="es-CR"/>
        </w:rPr>
        <w:t xml:space="preserve">e) </w:t>
      </w:r>
      <w:r w:rsidRPr="0078582A">
        <w:rPr>
          <w:rFonts w:ascii="Arial" w:hAnsi="Arial" w:cs="Arial"/>
          <w:sz w:val="22"/>
          <w:lang w:val="es-CR"/>
        </w:rPr>
        <w:tab/>
        <w:t xml:space="preserve">Inculcarles el respeto del medio ambiente natural. </w:t>
      </w:r>
    </w:p>
    <w:p w:rsidR="003F7D67" w:rsidRPr="0078582A" w:rsidRDefault="003F7D67" w:rsidP="003F7D67">
      <w:pPr>
        <w:pStyle w:val="CommentText"/>
        <w:spacing w:before="120" w:after="120" w:line="380" w:lineRule="exact"/>
        <w:jc w:val="both"/>
        <w:rPr>
          <w:rFonts w:ascii="Arial" w:hAnsi="Arial" w:cs="Arial"/>
          <w:sz w:val="22"/>
          <w:lang w:val="es-CR"/>
        </w:rPr>
      </w:pPr>
      <w:r w:rsidRPr="0078582A">
        <w:rPr>
          <w:rFonts w:ascii="Arial" w:hAnsi="Arial" w:cs="Arial"/>
          <w:sz w:val="22"/>
          <w:lang w:val="es-CR"/>
        </w:rPr>
        <w:t>Por su parte, el artículo</w:t>
      </w:r>
      <w:r w:rsidRPr="0078582A">
        <w:rPr>
          <w:rFonts w:ascii="Arial" w:eastAsia="SimSun" w:hAnsi="Arial" w:cs="Arial"/>
          <w:sz w:val="22"/>
          <w:lang w:val="es-CR"/>
        </w:rPr>
        <w:t xml:space="preserve"> 56 del </w:t>
      </w:r>
      <w:hyperlink r:id="rId29"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w:t>
      </w:r>
    </w:p>
    <w:p w:rsidR="003F7D67" w:rsidRPr="0078582A" w:rsidRDefault="003F7D67" w:rsidP="003F7D67">
      <w:pPr>
        <w:pStyle w:val="NormalWeb"/>
        <w:spacing w:before="120" w:beforeAutospacing="0" w:after="120" w:afterAutospacing="0" w:line="380" w:lineRule="exact"/>
        <w:ind w:left="425"/>
        <w:jc w:val="both"/>
        <w:rPr>
          <w:rFonts w:ascii="Arial" w:hAnsi="Arial" w:cs="Arial"/>
          <w:i/>
          <w:iCs/>
          <w:sz w:val="22"/>
          <w:lang w:val="es-CR"/>
        </w:rPr>
      </w:pPr>
      <w:r w:rsidRPr="0078582A">
        <w:rPr>
          <w:rFonts w:ascii="Arial" w:eastAsia="SimSun" w:hAnsi="Arial" w:cs="Arial"/>
          <w:i/>
          <w:iCs/>
          <w:sz w:val="22"/>
          <w:lang w:val="es-CR"/>
        </w:rPr>
        <w:t>Las personas menores de edad tendrán el derecho de recibir educación orientada hacia el desarrollo de sus potencialidades. La preparación que se le ofrezca se dirigirá al ejercicio pleno de la ciudadanía y le inculcará el respeto por los derechos humanos, los valores culturales propios y el cuidado del ambiente natural, en un marco de paz y solidaridad.</w:t>
      </w:r>
    </w:p>
    <w:p w:rsidR="003F7D67" w:rsidRPr="0078582A" w:rsidRDefault="003F7D67" w:rsidP="003F7D67">
      <w:pPr>
        <w:pStyle w:val="NormalWeb"/>
        <w:spacing w:before="120" w:beforeAutospacing="0" w:after="120" w:afterAutospacing="0" w:line="380" w:lineRule="exact"/>
        <w:jc w:val="both"/>
        <w:rPr>
          <w:rFonts w:ascii="Arial" w:hAnsi="Arial" w:cs="Arial"/>
          <w:sz w:val="22"/>
          <w:highlight w:val="yellow"/>
          <w:lang w:val="es-CR"/>
        </w:rPr>
      </w:pPr>
      <w:r w:rsidRPr="0078582A">
        <w:rPr>
          <w:rFonts w:ascii="Arial" w:eastAsia="SimSun" w:hAnsi="Arial" w:cs="Arial"/>
          <w:bCs/>
          <w:sz w:val="22"/>
          <w:lang w:val="es-CR"/>
        </w:rPr>
        <w:t xml:space="preserve">De acuerdo a la </w:t>
      </w:r>
      <w:hyperlink r:id="rId30" w:history="1">
        <w:r w:rsidRPr="0078582A">
          <w:rPr>
            <w:rStyle w:val="Hyperlink"/>
            <w:rFonts w:ascii="Arial" w:eastAsia="SimSun" w:hAnsi="Arial" w:cs="Arial"/>
            <w:bCs/>
            <w:sz w:val="22"/>
            <w:lang w:val="es-CR"/>
          </w:rPr>
          <w:t>Política Nacional para la Niñez y la Adolescencia Costa Rica 2009-2021</w:t>
        </w:r>
      </w:hyperlink>
      <w:r w:rsidRPr="0078582A">
        <w:rPr>
          <w:rStyle w:val="FootnoteReference"/>
          <w:rFonts w:ascii="Arial" w:eastAsia="SimSun" w:hAnsi="Arial" w:cs="Arial"/>
          <w:bCs/>
          <w:sz w:val="22"/>
          <w:lang w:val="es-CR"/>
        </w:rPr>
        <w:footnoteReference w:id="1"/>
      </w:r>
      <w:r w:rsidRPr="0078582A">
        <w:rPr>
          <w:rFonts w:ascii="Arial" w:eastAsia="SimSun" w:hAnsi="Arial" w:cs="Arial"/>
          <w:bCs/>
          <w:sz w:val="22"/>
          <w:lang w:val="es-CR"/>
        </w:rPr>
        <w:t>, l</w:t>
      </w:r>
      <w:r w:rsidRPr="0078582A">
        <w:rPr>
          <w:rFonts w:ascii="Arial" w:hAnsi="Arial" w:cs="Arial"/>
          <w:sz w:val="22"/>
          <w:lang w:val="es-CR"/>
        </w:rPr>
        <w:t>a educación es un espacio fundamental que el Estado debe favorecer para la formación personal, intelectual, socioética, cultural y ciudadana de sus pobladores. Es también una oportunidad para el ascenso social y un mecanismo para la inserción positiva y productiva en la sociedad, pues propicia el mejoramiento de la calidad de vida individual y colectiva de los habitantes del país.</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Una condición básica para que una sociedad alcance altos niveles de desarrollo humano es lograr que niños, niñas y adolescentes tengan acceso a una formación que les permita desplegar sus capacidades intelectuales y generar los medios para procurar una vida digna.</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Aunque es cierto que la educación no garantiza automáticamente un empleo de calidad, existe una relación directa entre los niveles de educación y los de pobreza. Así, el ingreso promedio de las personas es mayor cuando es mayor su nivel educativo (3,6 veces más en </w:t>
      </w:r>
      <w:r w:rsidRPr="0078582A">
        <w:rPr>
          <w:rFonts w:ascii="Arial" w:hAnsi="Arial" w:cs="Arial"/>
          <w:sz w:val="22"/>
          <w:lang w:val="es-CR"/>
        </w:rPr>
        <w:lastRenderedPageBreak/>
        <w:t xml:space="preserve">las personas con secundaria completa o más, con relación a las que no tienen ningún grado). Además, a mayor educación es menor el riesgo de estar en condición de pobreza. A la luz de estos datos vale recordar que, de acuerdo a los datos publicados por el Instituto Nacional de Estadística y Censos de la </w:t>
      </w:r>
      <w:hyperlink r:id="rId31" w:history="1">
        <w:r w:rsidRPr="0078582A">
          <w:rPr>
            <w:rStyle w:val="Hyperlink"/>
            <w:rFonts w:ascii="Arial" w:hAnsi="Arial" w:cs="Arial"/>
            <w:sz w:val="22"/>
            <w:lang w:val="es-CR"/>
          </w:rPr>
          <w:t>Encuesta Nacional de Hogares (ENAHO)</w:t>
        </w:r>
      </w:hyperlink>
      <w:r w:rsidRPr="0078582A">
        <w:rPr>
          <w:rFonts w:ascii="Arial" w:hAnsi="Arial" w:cs="Arial"/>
          <w:sz w:val="22"/>
          <w:lang w:val="es-CR"/>
        </w:rPr>
        <w:t>, en Costa Rica sólo el 16% de la población mayor de 15 años tiene la secundaria completa, mientras que un 24% tiene primaria incompleta</w:t>
      </w:r>
      <w:r w:rsidRPr="0078582A">
        <w:rPr>
          <w:rStyle w:val="FootnoteReference"/>
          <w:rFonts w:ascii="Arial" w:hAnsi="Arial" w:cs="Arial"/>
          <w:sz w:val="22"/>
          <w:lang w:val="es-CR"/>
        </w:rPr>
        <w:footnoteReference w:id="2"/>
      </w:r>
      <w:r w:rsidRPr="0078582A">
        <w:rPr>
          <w:rFonts w:ascii="Arial" w:hAnsi="Arial" w:cs="Arial"/>
          <w:sz w:val="22"/>
          <w:lang w:val="es-CR"/>
        </w:rPr>
        <w:t xml:space="preserve">.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Respecto a la educación vista como derecho social, se puede considerar que nuestra población de niños, niñas y adolescentes accede satisfactoriamente al sistema educativo y que Costa Rica se maneja con niveles educativos apropiados en los niveles básicos.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La legislación nacional protege al adolescente trabajador, pero diversos estudios revelan que las obligaciones laborales alejan a los y las estudiantes de las aulas. Existen niños, niñas y adolescentes trabajadores, muchos de los cuales realizan trabajos en condiciones contrarias a la ley, porque lo hacen a pesar de no contar con edad para ello.</w:t>
      </w:r>
    </w:p>
    <w:p w:rsidR="003F7D67" w:rsidRPr="0078582A" w:rsidRDefault="003F7D67" w:rsidP="003F7D67">
      <w:pPr>
        <w:widowControl w:val="0"/>
        <w:autoSpaceDE w:val="0"/>
        <w:autoSpaceDN w:val="0"/>
        <w:adjustRightInd w:val="0"/>
        <w:spacing w:before="120" w:after="120" w:line="380" w:lineRule="exact"/>
        <w:jc w:val="both"/>
        <w:rPr>
          <w:lang w:val="es-CR"/>
        </w:rPr>
      </w:pPr>
      <w:r w:rsidRPr="0078582A">
        <w:rPr>
          <w:rFonts w:ascii="Arial" w:hAnsi="Arial" w:cs="Arial"/>
          <w:sz w:val="22"/>
          <w:lang w:val="es-CR"/>
        </w:rPr>
        <w:t xml:space="preserve">Dentro de la ley, con edades entre 15 y 17 años, el número de trabajadores y trabajadoras adolescentes ronda los 65.000. Los y las jóvenes que pertenecen a este grupo no pueden estudiar al cien por ciento de sus capacidades y su inserción temprana en el mercado laboral es una fuente de reproducción del ciclo de transmisión intergeneracional de la pobreza. </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Salud integral</w:t>
      </w:r>
    </w:p>
    <w:p w:rsidR="003F7D67" w:rsidRPr="0078582A" w:rsidRDefault="003F7D67" w:rsidP="003F7D67">
      <w:pPr>
        <w:pStyle w:val="NormalWeb"/>
        <w:spacing w:before="120" w:beforeAutospacing="0" w:after="120" w:afterAutospacing="0" w:line="380" w:lineRule="exact"/>
        <w:jc w:val="both"/>
        <w:rPr>
          <w:rFonts w:ascii="Arial" w:hAnsi="Arial" w:cs="Arial"/>
          <w:sz w:val="22"/>
          <w:lang w:val="es-CR"/>
        </w:rPr>
      </w:pPr>
      <w:r w:rsidRPr="0078582A">
        <w:rPr>
          <w:rFonts w:ascii="Arial" w:eastAsia="Arial Unicode MS" w:hAnsi="Arial" w:cs="Arial"/>
          <w:sz w:val="22"/>
          <w:lang w:val="es-CR"/>
        </w:rPr>
        <w:t xml:space="preserve">La </w:t>
      </w:r>
      <w:hyperlink r:id="rId32"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 xml:space="preserve">reconoce el derecho a la salud en su artículo 24, </w:t>
      </w:r>
      <w:r w:rsidRPr="0078582A">
        <w:rPr>
          <w:rFonts w:ascii="Arial" w:hAnsi="Arial" w:cs="Arial"/>
          <w:sz w:val="22"/>
          <w:lang w:val="es-CR"/>
        </w:rPr>
        <w:t xml:space="preserve">por medio de medidas para la reducción de la mortalidad, prestación de servicios de atención primaria y la promoción de la cooperación internacional para cubrir sus objetivos. En esta convención los Estados parte reconocen el derecho de los niños, niñas y adolescentes al disfrute del más alto nivel posible de salud y a servicios para el tratamiento de las enfermedades y la rehabilitación de la salud. Los Estados parte también deben esforzarse por asegurar que ningún niño, niña o adolescente sea privado de su derecho al disfrute de esos servicios. </w:t>
      </w:r>
    </w:p>
    <w:p w:rsidR="003F7D67" w:rsidRPr="0078582A" w:rsidRDefault="003F7D67" w:rsidP="003F7D67">
      <w:pPr>
        <w:spacing w:before="120" w:after="120" w:line="380" w:lineRule="exact"/>
        <w:jc w:val="both"/>
        <w:rPr>
          <w:rFonts w:ascii="Arial" w:eastAsia="SimSun" w:hAnsi="Arial" w:cs="Arial"/>
          <w:sz w:val="22"/>
          <w:lang w:val="es-CR"/>
        </w:rPr>
      </w:pPr>
      <w:r w:rsidRPr="0078582A">
        <w:rPr>
          <w:rFonts w:ascii="Arial" w:eastAsia="SimSun" w:hAnsi="Arial" w:cs="Arial"/>
          <w:sz w:val="22"/>
          <w:lang w:val="es-CR"/>
        </w:rPr>
        <w:t xml:space="preserve">Por su parte, el </w:t>
      </w:r>
      <w:hyperlink r:id="rId33"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 en el a</w:t>
      </w:r>
      <w:r w:rsidRPr="0078582A">
        <w:rPr>
          <w:rFonts w:ascii="Arial" w:eastAsia="SimSun" w:hAnsi="Arial" w:cs="Arial"/>
          <w:sz w:val="22"/>
          <w:lang w:val="es-CR"/>
        </w:rPr>
        <w:t xml:space="preserve">rtículo 41 que las personas menores de edad gozarán de atención médica directa y gratuita por parte del </w:t>
      </w:r>
      <w:r w:rsidRPr="0078582A">
        <w:rPr>
          <w:rFonts w:ascii="Arial" w:eastAsia="SimSun" w:hAnsi="Arial" w:cs="Arial"/>
          <w:sz w:val="22"/>
          <w:lang w:val="es-CR"/>
        </w:rPr>
        <w:lastRenderedPageBreak/>
        <w:t>Estado, mediante los centros o servicios públicos de prevención y atención de la salud, de manera inmediata, sin discriminación alguna. No podrá aducirse ausencia de sus representantes legales, carencia de documentos de identidad, falta de cupón u otra circunstancia.</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eastAsia="SimSun" w:hAnsi="Arial" w:cs="Arial"/>
          <w:bCs/>
          <w:sz w:val="22"/>
          <w:lang w:val="es-CR"/>
        </w:rPr>
        <w:t xml:space="preserve">De acuerdo a la </w:t>
      </w:r>
      <w:hyperlink r:id="rId34" w:history="1">
        <w:r w:rsidRPr="0078582A">
          <w:rPr>
            <w:rStyle w:val="Hyperlink"/>
            <w:rFonts w:ascii="Arial" w:eastAsia="SimSun" w:hAnsi="Arial" w:cs="Arial"/>
            <w:bCs/>
            <w:sz w:val="22"/>
            <w:lang w:val="es-CR"/>
          </w:rPr>
          <w:t>Política Nacional para la Niñez y la Adolescencia Costa Rica 2009-2021</w:t>
        </w:r>
      </w:hyperlink>
      <w:r w:rsidRPr="0078582A">
        <w:rPr>
          <w:rFonts w:ascii="Arial" w:eastAsia="SimSun" w:hAnsi="Arial" w:cs="Arial"/>
          <w:bCs/>
          <w:sz w:val="22"/>
          <w:lang w:val="es-CR"/>
        </w:rPr>
        <w:t xml:space="preserve">, </w:t>
      </w:r>
      <w:r w:rsidRPr="0078582A">
        <w:rPr>
          <w:rFonts w:ascii="Arial" w:hAnsi="Arial" w:cs="Arial"/>
          <w:sz w:val="22"/>
          <w:lang w:val="es-CR"/>
        </w:rPr>
        <w:t>a partir de la instauración del enfoque de derechos se ha fortalecido lo que podríamos denominar como un modelo de salud integral, que procura dar sentido a sus acciones, no como reacciones frente a la enfermedad, sino en la línea preventiva de fomentar buenos hábitos en el cuido del cuerpo y de nuestros afectos.</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Un concepto integral de salud implica relaciones directas con otras áreas, tradicionalmente excluidas cuando se considera sólo el binomio salud-enfermedad. Salud, en este sentido, significa un estilo de vida que genera actividad antes de que aparezcan las enfermedades, y comprende la parte psicológica y afectiva de las personas en su entorno social.</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Se ofrece entonces un nuevo concepto de salud, con expansión de temáticas y de derechos, que implica la atención al derecho a vivir, derecho a una vida saludable, derecho a un ambiente saludable y sostenible, derecho a la educación, recreación y movimiento humano, derecho a una nutrición balanceada, adecuada y suficiente, derecho a una vida familiar en condiciones de dignidad, respeto y reconocimiento, y derecho a la participación en la toma de decisiones.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Ello también permite establecer la vinculación entre salud y seguridad. La inseguridad ciudadana afecta a las personas de dos formas: como víctimas de acciones de violencia y como víctimas del miedo. La primera de las situaciones ha generado una serie de programas para la prevención de la violencia y el abuso sexual contra niños, niñas y adolescentes, cuya aspiración debe garantizar el derecho de contar con lugares seguros, tanto dentro como fuera del hogar. Vale en este sentido también revisar el </w:t>
      </w:r>
      <w:hyperlink r:id="rId35" w:history="1">
        <w:r w:rsidRPr="0078582A">
          <w:rPr>
            <w:rStyle w:val="Hyperlink"/>
            <w:rFonts w:ascii="Arial" w:hAnsi="Arial" w:cs="Arial"/>
            <w:sz w:val="22"/>
            <w:lang w:val="es-CR"/>
          </w:rPr>
          <w:t>Plan Nacional para el Desarrollo de Estrategias de Prevención y Erradicación de la Violencia Contra Niños, Niñas y Adolescentes Costa Rica 2017-2019</w:t>
        </w:r>
      </w:hyperlink>
      <w:r w:rsidRPr="0078582A">
        <w:rPr>
          <w:rFonts w:ascii="Arial" w:hAnsi="Arial" w:cs="Arial"/>
          <w:sz w:val="22"/>
          <w:lang w:val="es-CR"/>
        </w:rPr>
        <w:t xml:space="preserve"> (CNNA, PANI y UNICEF, 2017).</w:t>
      </w:r>
    </w:p>
    <w:p w:rsidR="003F7D67" w:rsidRPr="0078582A" w:rsidRDefault="003F7D67" w:rsidP="003F7D67">
      <w:pPr>
        <w:widowControl w:val="0"/>
        <w:numPr>
          <w:ilvl w:val="1"/>
          <w:numId w:val="6"/>
        </w:numPr>
        <w:autoSpaceDE w:val="0"/>
        <w:autoSpaceDN w:val="0"/>
        <w:adjustRightInd w:val="0"/>
        <w:spacing w:before="120" w:line="380" w:lineRule="exact"/>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Cultura, juego</w:t>
      </w:r>
      <w:r>
        <w:rPr>
          <w:rStyle w:val="A2"/>
          <w:rFonts w:ascii="Arial" w:hAnsi="Arial" w:cs="Arial"/>
          <w:b/>
          <w:bCs/>
          <w:color w:val="2F5496" w:themeColor="accent5" w:themeShade="BF"/>
          <w:sz w:val="22"/>
          <w:lang w:val="es-CR"/>
        </w:rPr>
        <w:t>, deporte</w:t>
      </w:r>
      <w:r w:rsidRPr="0078582A">
        <w:rPr>
          <w:rStyle w:val="A2"/>
          <w:rFonts w:ascii="Arial" w:hAnsi="Arial" w:cs="Arial"/>
          <w:b/>
          <w:bCs/>
          <w:color w:val="2F5496" w:themeColor="accent5" w:themeShade="BF"/>
          <w:sz w:val="22"/>
          <w:lang w:val="es-CR"/>
        </w:rPr>
        <w:t xml:space="preserve"> y recreación </w:t>
      </w:r>
    </w:p>
    <w:p w:rsidR="003F7D67" w:rsidRPr="0078582A" w:rsidRDefault="003F7D67" w:rsidP="003F7D67">
      <w:pPr>
        <w:widowControl w:val="0"/>
        <w:autoSpaceDE w:val="0"/>
        <w:autoSpaceDN w:val="0"/>
        <w:adjustRightInd w:val="0"/>
        <w:spacing w:before="120" w:after="120" w:line="380" w:lineRule="exact"/>
        <w:jc w:val="both"/>
        <w:rPr>
          <w:rFonts w:ascii="Arial" w:eastAsia="Arial Unicode MS" w:hAnsi="Arial" w:cs="Arial"/>
          <w:sz w:val="22"/>
          <w:lang w:val="es-CR"/>
        </w:rPr>
      </w:pPr>
      <w:r w:rsidRPr="0078582A">
        <w:rPr>
          <w:rFonts w:ascii="Arial" w:eastAsia="Arial Unicode MS" w:hAnsi="Arial" w:cs="Arial"/>
          <w:sz w:val="22"/>
          <w:lang w:val="es-CR"/>
        </w:rPr>
        <w:t xml:space="preserve">La </w:t>
      </w:r>
      <w:hyperlink r:id="rId36" w:history="1">
        <w:r w:rsidRPr="0078582A">
          <w:rPr>
            <w:rStyle w:val="Hyperlink"/>
            <w:rFonts w:ascii="Arial" w:hAnsi="Arial" w:cs="Arial"/>
            <w:sz w:val="22"/>
            <w:lang w:val="es-CR"/>
          </w:rPr>
          <w:t>Convención sobre los Derechos del Niño</w:t>
        </w:r>
      </w:hyperlink>
      <w:r w:rsidRPr="0078582A">
        <w:rPr>
          <w:rFonts w:ascii="Arial" w:hAnsi="Arial" w:cs="Arial"/>
          <w:sz w:val="22"/>
          <w:lang w:val="es-CR"/>
        </w:rPr>
        <w:t xml:space="preserve"> </w:t>
      </w:r>
      <w:r w:rsidRPr="0078582A">
        <w:rPr>
          <w:rFonts w:ascii="Arial" w:eastAsia="Arial Unicode MS" w:hAnsi="Arial" w:cs="Arial"/>
          <w:sz w:val="22"/>
          <w:lang w:val="es-CR"/>
        </w:rPr>
        <w:t xml:space="preserve">señala en su artículo 31 que los Estados parte reconocen el derecho de los niños, niñas y adolescentes al descanso y el esparcimiento, al juego y a las actividades recreativas propias de su edad, y a participar libremente en la vida cultural y en las artes. Los Estados parte deben asegurar las oportunidades apropiadas, en </w:t>
      </w:r>
      <w:r w:rsidRPr="0078582A">
        <w:rPr>
          <w:rFonts w:ascii="Arial" w:eastAsia="Arial Unicode MS" w:hAnsi="Arial" w:cs="Arial"/>
          <w:sz w:val="22"/>
          <w:lang w:val="es-CR"/>
        </w:rPr>
        <w:lastRenderedPageBreak/>
        <w:t>condiciones de igualdad, para que esto suceda.</w:t>
      </w:r>
    </w:p>
    <w:p w:rsidR="003F7D67" w:rsidRPr="0078582A" w:rsidRDefault="003F7D67" w:rsidP="003F7D67">
      <w:pPr>
        <w:spacing w:before="120" w:after="120" w:line="380" w:lineRule="exact"/>
        <w:jc w:val="both"/>
        <w:rPr>
          <w:rFonts w:ascii="Arial" w:eastAsia="SimSun" w:hAnsi="Arial" w:cs="Arial"/>
          <w:sz w:val="22"/>
          <w:lang w:val="es-CR"/>
        </w:rPr>
      </w:pPr>
      <w:r w:rsidRPr="0078582A">
        <w:rPr>
          <w:rFonts w:ascii="Arial" w:eastAsia="SimSun" w:hAnsi="Arial" w:cs="Arial"/>
          <w:sz w:val="22"/>
          <w:lang w:val="es-CR"/>
        </w:rPr>
        <w:t xml:space="preserve">Por su parte, el </w:t>
      </w:r>
      <w:hyperlink r:id="rId37" w:history="1">
        <w:r w:rsidRPr="0078582A">
          <w:rPr>
            <w:rStyle w:val="Hyperlink"/>
            <w:rFonts w:ascii="Arial" w:hAnsi="Arial" w:cs="Arial"/>
            <w:sz w:val="22"/>
            <w:lang w:val="es-CR"/>
          </w:rPr>
          <w:t>Código de la Niñez y la Adolescencia</w:t>
        </w:r>
      </w:hyperlink>
      <w:r w:rsidRPr="0078582A">
        <w:rPr>
          <w:rFonts w:ascii="Arial" w:hAnsi="Arial" w:cs="Arial"/>
          <w:sz w:val="22"/>
          <w:lang w:val="es-CR"/>
        </w:rPr>
        <w:t xml:space="preserve"> señala en el a</w:t>
      </w:r>
      <w:r w:rsidRPr="0078582A">
        <w:rPr>
          <w:rFonts w:ascii="Arial" w:eastAsia="SimSun" w:hAnsi="Arial" w:cs="Arial"/>
          <w:sz w:val="22"/>
          <w:lang w:val="es-CR"/>
        </w:rPr>
        <w:t>rtículo 73 que:</w:t>
      </w:r>
    </w:p>
    <w:p w:rsidR="003F7D67" w:rsidRPr="0078582A" w:rsidRDefault="003F7D67" w:rsidP="003F7D67">
      <w:pPr>
        <w:pStyle w:val="NormalWeb"/>
        <w:spacing w:before="120" w:beforeAutospacing="0" w:after="120" w:afterAutospacing="0" w:line="380" w:lineRule="exact"/>
        <w:ind w:left="425"/>
        <w:jc w:val="both"/>
        <w:rPr>
          <w:rFonts w:ascii="Arial" w:eastAsia="SimSun" w:hAnsi="Arial" w:cs="Arial"/>
          <w:i/>
          <w:iCs/>
          <w:sz w:val="22"/>
          <w:lang w:val="es-CR"/>
        </w:rPr>
      </w:pPr>
      <w:r w:rsidRPr="0078582A">
        <w:rPr>
          <w:rFonts w:ascii="Arial" w:eastAsia="SimSun" w:hAnsi="Arial" w:cs="Arial"/>
          <w:i/>
          <w:iCs/>
          <w:sz w:val="22"/>
          <w:lang w:val="es-CR"/>
        </w:rPr>
        <w:t xml:space="preserve">(...) las personas menores de edad tendrán derecho a jugar y participar en actividades recreativas, deportivas y culturales, que les permitan ocupar provechosamente su tiempo libre y contribuyan a su desarrollo humano integral, con las únicas restricciones que la ley señale. Corresponde en forma prioritaria a los padres, encargados o representantes, darles las oportunidades para ejercer estos derechos.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eastAsia="SimSun" w:hAnsi="Arial" w:cs="Arial"/>
          <w:bCs/>
          <w:sz w:val="22"/>
          <w:lang w:val="es-CR"/>
        </w:rPr>
        <w:t xml:space="preserve">De acuerdo a la </w:t>
      </w:r>
      <w:hyperlink r:id="rId38" w:history="1">
        <w:r w:rsidRPr="0078582A">
          <w:rPr>
            <w:rStyle w:val="Hyperlink"/>
            <w:rFonts w:ascii="Arial" w:eastAsia="SimSun" w:hAnsi="Arial" w:cs="Arial"/>
            <w:bCs/>
            <w:sz w:val="22"/>
            <w:lang w:val="es-CR"/>
          </w:rPr>
          <w:t>Política Nacional para la Niñez y la Adolescencia Costa Rica 2009-2021</w:t>
        </w:r>
      </w:hyperlink>
      <w:r w:rsidRPr="0078582A">
        <w:rPr>
          <w:rFonts w:ascii="Arial" w:eastAsia="SimSun" w:hAnsi="Arial" w:cs="Arial"/>
          <w:bCs/>
          <w:sz w:val="22"/>
          <w:lang w:val="es-CR"/>
        </w:rPr>
        <w:t xml:space="preserve">, </w:t>
      </w:r>
      <w:r w:rsidRPr="0078582A">
        <w:rPr>
          <w:rFonts w:ascii="Arial" w:hAnsi="Arial" w:cs="Arial"/>
          <w:sz w:val="22"/>
          <w:lang w:val="es-CR"/>
        </w:rPr>
        <w:t xml:space="preserve">el efectivo cumplimiento del derecho a la cultura, el juego y la recreación de las personas menores de edad implica el compromiso activo de las familias, las comunidades y el Estado. Es un tema poco explorado con relación al abordaje de otros derechos que se asocian a la satisfacción de necesidades básicas, como educación y salud, de modo tal que no se cuenta, por ejemplo, con un robusto sistema de indicadores.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Según el marco normativo vigente, le corresponde al </w:t>
      </w:r>
      <w:hyperlink r:id="rId39" w:history="1">
        <w:r w:rsidRPr="0078582A">
          <w:rPr>
            <w:rStyle w:val="Hyperlink"/>
            <w:rFonts w:ascii="Arial" w:hAnsi="Arial" w:cs="Arial"/>
            <w:sz w:val="22"/>
            <w:lang w:val="es-CR"/>
          </w:rPr>
          <w:t>Ministerio de Cultura y Juventud</w:t>
        </w:r>
      </w:hyperlink>
      <w:r w:rsidRPr="0078582A">
        <w:rPr>
          <w:rFonts w:ascii="Arial" w:hAnsi="Arial" w:cs="Arial"/>
          <w:sz w:val="22"/>
          <w:lang w:val="es-CR"/>
        </w:rPr>
        <w:t xml:space="preserve"> la formulación y la ejecución de las políticas culturales y recreativas a nivel nacional. El Ministerio posibilita y crea espacios y oportunidades para que la población tenga acceso a la oferta cultural, artística, deportiva y recreativa ofrecida por la institución, las organizaciones y agrupaciones del sector. Su misión es fomentar y preservar la pluralidad y diversidad cultural, así como facilitar la participación de todos los sectores sociales en los procesos de desarrollo cultural, artístico, deportivo y recreativo, sin distingos de género, grupo étnico y ubicación geográfica.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Como complemento a este marco institucional se crea en 1998, por Ley 7800, el </w:t>
      </w:r>
      <w:hyperlink r:id="rId40" w:history="1">
        <w:r w:rsidRPr="0078582A">
          <w:rPr>
            <w:rStyle w:val="Hyperlink"/>
            <w:rFonts w:ascii="Arial" w:hAnsi="Arial" w:cs="Arial"/>
            <w:sz w:val="22"/>
            <w:lang w:val="es-CR"/>
          </w:rPr>
          <w:t>Instituto Costarricense del Deporte y la Recreación</w:t>
        </w:r>
      </w:hyperlink>
      <w:r w:rsidRPr="0078582A">
        <w:rPr>
          <w:rFonts w:ascii="Arial" w:hAnsi="Arial" w:cs="Arial"/>
          <w:sz w:val="22"/>
          <w:lang w:val="es-CR"/>
        </w:rPr>
        <w:t xml:space="preserve"> (ICODER) como ente especializado en tales materias. El fin primordial del ICODER es la promoción, el apoyo y estímulo de la práctica individual y colectiva del deporte y la recreación de los habitantes del país, actividad considerada de interés público por estar comprometida la salud integral de la población. </w:t>
      </w:r>
    </w:p>
    <w:p w:rsidR="003F7D67" w:rsidRPr="0078582A" w:rsidRDefault="003F7D67" w:rsidP="003E1184">
      <w:pPr>
        <w:widowControl w:val="0"/>
        <w:numPr>
          <w:ilvl w:val="1"/>
          <w:numId w:val="6"/>
        </w:numPr>
        <w:autoSpaceDE w:val="0"/>
        <w:autoSpaceDN w:val="0"/>
        <w:adjustRightInd w:val="0"/>
        <w:spacing w:line="240" w:lineRule="auto"/>
        <w:jc w:val="both"/>
        <w:rPr>
          <w:rStyle w:val="A2"/>
          <w:rFonts w:ascii="Arial" w:hAnsi="Arial" w:cs="Arial"/>
          <w:b/>
          <w:bCs/>
          <w:color w:val="2F5496" w:themeColor="accent5" w:themeShade="BF"/>
          <w:sz w:val="22"/>
          <w:lang w:val="es-CR"/>
        </w:rPr>
      </w:pPr>
      <w:r w:rsidRPr="0078582A">
        <w:rPr>
          <w:rStyle w:val="A2"/>
          <w:rFonts w:ascii="Arial" w:hAnsi="Arial" w:cs="Arial"/>
          <w:b/>
          <w:bCs/>
          <w:color w:val="2F5496" w:themeColor="accent5" w:themeShade="BF"/>
          <w:sz w:val="22"/>
          <w:lang w:val="es-CR"/>
        </w:rPr>
        <w:t>Desarrollo psicosocial</w:t>
      </w:r>
    </w:p>
    <w:p w:rsidR="003F7D67" w:rsidRPr="0078582A" w:rsidRDefault="00BE408F" w:rsidP="003F7D67">
      <w:pPr>
        <w:widowControl w:val="0"/>
        <w:autoSpaceDE w:val="0"/>
        <w:autoSpaceDN w:val="0"/>
        <w:adjustRightInd w:val="0"/>
        <w:spacing w:before="120" w:after="120" w:line="380" w:lineRule="exact"/>
        <w:jc w:val="both"/>
        <w:rPr>
          <w:rFonts w:ascii="Arial" w:hAnsi="Arial" w:cs="Arial"/>
          <w:sz w:val="22"/>
          <w:lang w:val="es-CR"/>
        </w:rPr>
      </w:pPr>
      <w:hyperlink r:id="rId41" w:history="1">
        <w:r w:rsidR="003F7D67" w:rsidRPr="0078582A">
          <w:rPr>
            <w:rStyle w:val="Hyperlink"/>
            <w:rFonts w:ascii="Arial" w:hAnsi="Arial" w:cs="Arial"/>
            <w:sz w:val="22"/>
            <w:lang w:val="es-CR"/>
          </w:rPr>
          <w:t>UNICEF</w:t>
        </w:r>
      </w:hyperlink>
      <w:r w:rsidR="003F7D67" w:rsidRPr="0078582A">
        <w:rPr>
          <w:rFonts w:ascii="Arial" w:hAnsi="Arial" w:cs="Arial"/>
          <w:sz w:val="22"/>
          <w:lang w:val="es-CR"/>
        </w:rPr>
        <w:t xml:space="preserve"> considera que el desarrollo psicosocial y cognitivo son fundamentales para el desarrollo humano, que ofrece a los niños, niñas y adolescentes la posibilidad de aprender a manejar niveles de pensamiento, emociones y sociabilidad cada vez más complejos (</w:t>
      </w:r>
      <w:hyperlink r:id="rId42" w:history="1">
        <w:r w:rsidR="003F7D67" w:rsidRPr="0078582A">
          <w:rPr>
            <w:rStyle w:val="Hyperlink"/>
            <w:rFonts w:ascii="Arial" w:hAnsi="Arial" w:cs="Arial"/>
            <w:sz w:val="22"/>
            <w:lang w:val="es-CR"/>
          </w:rPr>
          <w:t>UNICEF, s/f</w:t>
        </w:r>
      </w:hyperlink>
      <w:r w:rsidR="003F7D67" w:rsidRPr="0078582A">
        <w:rPr>
          <w:rFonts w:ascii="Arial" w:hAnsi="Arial" w:cs="Arial"/>
          <w:sz w:val="22"/>
          <w:lang w:val="es-CR"/>
        </w:rPr>
        <w:t xml:space="preserve">). Este desarrollo implica avanzar de lo simple a lo complejo, de una conducta dependiente a una autónoma que les permite funcionar en un ambiente particular, </w:t>
      </w:r>
      <w:r w:rsidR="003F7D67" w:rsidRPr="0078582A">
        <w:rPr>
          <w:rFonts w:ascii="Arial" w:hAnsi="Arial" w:cs="Arial"/>
          <w:sz w:val="22"/>
          <w:lang w:val="es-CR"/>
        </w:rPr>
        <w:lastRenderedPageBreak/>
        <w:t xml:space="preserve">adaptarse a nuevos ambientes y transformar los ambientes en los cuales viven. Una persona menor de edad que se ha desarrollado de una manera más completa tiene más posibilidades de sobrevivir y prosperar, de participar activamente en los altibajos de la vida y de sentirse capaz de cambiar el mundo. </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El método más importante para que los niños y niñas se desarrollen y aprendan consiste en el contacto con sus semejantes. Cuanto más los padres, madres y personas cuidadoras hablen y respondan al niño y a la niña, más rápidamente aprenderán. Los padres, madres y personas cuidadoras deben hablar, leer o cantar a los lactantes y a los niños y niñas de corta edad, incluso si éstos no son todavía capaces de entender esas palabras; estas “conversaciones” precoces desarrollan sus capacidades verbales y de aprendizaje.</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Los niños y las niñas comparten las mismas necesidades físicas, mentales, emocionales y sociales. Ambos tienen la misma capacidad para el aprendizaje. Y ambos tienen la misma necesidad de afecto, atención y aprobación.</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El juego es clave para el aprendizaje y el desarrollo, brinda conocimientos y experiencias, y les ayuda a desarrollar la curiosidad y la confianza en sí mismos. Los más pequeños aprenden manejando cosas, comparando los resultados, haciendo preguntas y enfrentando desafíos. El juego desarrolla la capacidad verbal, de pensamiento, de planeamiento y de organización, y el poder para tomar decisiones. El estímulo y el juego son especialmente importantes si el niño o la niña tienen alguna discapacidad.</w:t>
      </w:r>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 xml:space="preserve">Entendido de esta manera, el derecho al desarrollo psicosocial vincula a los tres derechos anteriores. Para la elaboración de indicadores relacionados con este derecho para el R-CAI en su segunda etapa, se han considerado principalmente los contenidos de la </w:t>
      </w:r>
      <w:hyperlink r:id="rId43" w:history="1">
        <w:r w:rsidRPr="0078582A">
          <w:rPr>
            <w:rStyle w:val="Hyperlink"/>
            <w:rFonts w:ascii="Arial" w:hAnsi="Arial" w:cs="Arial"/>
            <w:sz w:val="22"/>
            <w:lang w:val="es-CR"/>
          </w:rPr>
          <w:t>Agenda Nacional de Niñez y Adolescencia (Metas y compromisos 2015-2021)</w:t>
        </w:r>
      </w:hyperlink>
      <w:r w:rsidRPr="0078582A">
        <w:rPr>
          <w:rFonts w:ascii="Arial" w:hAnsi="Arial" w:cs="Arial"/>
          <w:sz w:val="22"/>
          <w:lang w:val="es-CR"/>
        </w:rPr>
        <w:t>.</w:t>
      </w:r>
    </w:p>
    <w:p w:rsidR="003F7D67" w:rsidRPr="0078582A" w:rsidRDefault="003F7D67" w:rsidP="003F7D67">
      <w:pPr>
        <w:pStyle w:val="Heading2"/>
        <w:numPr>
          <w:ilvl w:val="0"/>
          <w:numId w:val="5"/>
        </w:numPr>
        <w:rPr>
          <w:rFonts w:ascii="Arial" w:hAnsi="Arial" w:cs="Arial" w:hint="default"/>
          <w:color w:val="2F5496" w:themeColor="accent5" w:themeShade="BF"/>
          <w:sz w:val="22"/>
          <w:szCs w:val="22"/>
          <w:lang w:val="es-CR"/>
        </w:rPr>
      </w:pPr>
      <w:bookmarkStart w:id="12" w:name="_Toc264"/>
      <w:r w:rsidRPr="0078582A">
        <w:rPr>
          <w:rFonts w:ascii="Arial" w:hAnsi="Arial" w:cs="Arial" w:hint="default"/>
          <w:color w:val="2F5496" w:themeColor="accent5" w:themeShade="BF"/>
          <w:sz w:val="22"/>
          <w:szCs w:val="22"/>
          <w:lang w:val="es-CR"/>
        </w:rPr>
        <w:t>¿Cómo se vinculan las problemáticas y riesgos sociales con los cuatro derechos estratégicos seleccionados?</w:t>
      </w:r>
      <w:bookmarkEnd w:id="12"/>
    </w:p>
    <w:p w:rsidR="003F7D67" w:rsidRPr="0078582A" w:rsidRDefault="003F7D67" w:rsidP="003F7D67">
      <w:pPr>
        <w:widowControl w:val="0"/>
        <w:autoSpaceDE w:val="0"/>
        <w:autoSpaceDN w:val="0"/>
        <w:adjustRightInd w:val="0"/>
        <w:spacing w:before="120" w:after="120" w:line="380" w:lineRule="exact"/>
        <w:jc w:val="both"/>
        <w:rPr>
          <w:rFonts w:ascii="Arial" w:hAnsi="Arial" w:cs="Arial"/>
          <w:sz w:val="22"/>
          <w:lang w:val="es-CR"/>
        </w:rPr>
      </w:pPr>
      <w:r w:rsidRPr="0078582A">
        <w:rPr>
          <w:rFonts w:ascii="Arial" w:hAnsi="Arial" w:cs="Arial"/>
          <w:sz w:val="22"/>
          <w:lang w:val="es-CR"/>
        </w:rPr>
        <w:t>Sigue el cuadro-resumen de las problemáticas que afectan a los niños, niñas y adolescentes y las situaciones de riesgo social, con una columna adicional que los vincula a estos cuatro derechos. Como se puede deducir de la lectura de la sección anterior, los cuatro derechos estratégicamente seleccionados están interrelacionados, razón por la cual lo que aparece en la columna de la derecha refleja los derechos que se relacionan con el problema señalado en la columna de la izquierda.</w:t>
      </w:r>
    </w:p>
    <w:tbl>
      <w:tblPr>
        <w:tblStyle w:val="TableGrid"/>
        <w:tblW w:w="8809" w:type="dxa"/>
        <w:tblLayout w:type="fixed"/>
        <w:tblLook w:val="04A0" w:firstRow="1" w:lastRow="0" w:firstColumn="1" w:lastColumn="0" w:noHBand="0" w:noVBand="1"/>
      </w:tblPr>
      <w:tblGrid>
        <w:gridCol w:w="2304"/>
        <w:gridCol w:w="4134"/>
        <w:gridCol w:w="2371"/>
      </w:tblGrid>
      <w:tr w:rsidR="003F7D67" w:rsidRPr="0078582A" w:rsidTr="006D5751">
        <w:trPr>
          <w:trHeight w:val="407"/>
        </w:trPr>
        <w:tc>
          <w:tcPr>
            <w:tcW w:w="2304"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lastRenderedPageBreak/>
              <w:t>Problema</w:t>
            </w:r>
          </w:p>
        </w:tc>
        <w:tc>
          <w:tcPr>
            <w:tcW w:w="4134"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 xml:space="preserve">Factores de riesgo </w:t>
            </w:r>
          </w:p>
        </w:tc>
        <w:tc>
          <w:tcPr>
            <w:tcW w:w="2371" w:type="dxa"/>
            <w:shd w:val="clear" w:color="auto" w:fill="D8D8D8" w:themeFill="background1" w:themeFillShade="D8"/>
          </w:tcPr>
          <w:p w:rsidR="003F7D67" w:rsidRPr="0078582A" w:rsidRDefault="003F7D67" w:rsidP="006D5751">
            <w:pPr>
              <w:spacing w:before="60" w:after="60" w:line="280" w:lineRule="exact"/>
              <w:rPr>
                <w:rFonts w:ascii="Arial" w:hAnsi="Arial" w:cs="Arial"/>
                <w:b/>
                <w:bCs/>
                <w:sz w:val="20"/>
                <w:lang w:val="es-CR"/>
              </w:rPr>
            </w:pPr>
            <w:r w:rsidRPr="0078582A">
              <w:rPr>
                <w:rFonts w:ascii="Arial" w:hAnsi="Arial" w:cs="Arial"/>
                <w:b/>
                <w:bCs/>
                <w:sz w:val="20"/>
                <w:lang w:val="es-CR"/>
              </w:rPr>
              <w:t>Derecho a proteger</w:t>
            </w: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Obesidad/Mala alimentación</w:t>
            </w:r>
          </w:p>
        </w:tc>
        <w:tc>
          <w:tcPr>
            <w:tcW w:w="413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Sedentarismo.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acceso a alimentos de buena calidad nutricional.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acceso a espacios exteriores y a actividades recreativas.</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Negligencia y abandono.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Pobreza.</w:t>
            </w:r>
          </w:p>
        </w:tc>
        <w:tc>
          <w:tcPr>
            <w:tcW w:w="237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p w:rsidR="003F7D67" w:rsidRPr="0078582A" w:rsidRDefault="003F7D67" w:rsidP="006D5751">
            <w:pPr>
              <w:spacing w:before="60" w:after="60" w:line="280" w:lineRule="exact"/>
              <w:rPr>
                <w:rFonts w:ascii="Arial" w:hAnsi="Arial" w:cs="Arial"/>
                <w:sz w:val="20"/>
                <w:lang w:val="es-CR"/>
              </w:rPr>
            </w:pPr>
            <w:r>
              <w:rPr>
                <w:rFonts w:ascii="Arial" w:hAnsi="Arial" w:cs="Arial"/>
                <w:sz w:val="20"/>
                <w:lang w:val="es-CR"/>
              </w:rPr>
              <w:t xml:space="preserve">- Derecho a la cultura, juego, deporte </w:t>
            </w:r>
            <w:r w:rsidRPr="0078582A">
              <w:rPr>
                <w:rFonts w:ascii="Arial" w:hAnsi="Arial" w:cs="Arial"/>
                <w:sz w:val="20"/>
                <w:lang w:val="es-CR"/>
              </w:rPr>
              <w:t>y recreación</w:t>
            </w:r>
          </w:p>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Deserción/expulsión del sistema educativo</w:t>
            </w:r>
          </w:p>
        </w:tc>
        <w:tc>
          <w:tcPr>
            <w:tcW w:w="413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apoyo académico y psicológico en el hogar.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apoyo académico y psicológico en el centro educativo.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Bullying y otras formas de abuso y violencia en el centro educativo.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Violencia intrafamiliar, incluidos la negligencia y el abandono.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Embarazo adolescente.</w:t>
            </w:r>
          </w:p>
        </w:tc>
        <w:tc>
          <w:tcPr>
            <w:tcW w:w="2371"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educación</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tc>
      </w:tr>
      <w:tr w:rsidR="003F7D67" w:rsidRPr="0078582A" w:rsidTr="006D5751">
        <w:trPr>
          <w:trHeight w:val="207"/>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Embarazo adolescente</w:t>
            </w:r>
          </w:p>
        </w:tc>
        <w:tc>
          <w:tcPr>
            <w:tcW w:w="4134"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Expulsión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Desintegración familiar.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Violencia intrafamiliar.</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Abuso y negligencia.</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Problemas de autoestima.</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una persona adulta de referencia.</w:t>
            </w:r>
          </w:p>
        </w:tc>
        <w:tc>
          <w:tcPr>
            <w:tcW w:w="2371"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educación</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salud integral</w:t>
            </w:r>
          </w:p>
        </w:tc>
      </w:tr>
      <w:tr w:rsidR="003F7D67" w:rsidRPr="0078582A" w:rsidTr="006D5751">
        <w:trPr>
          <w:trHeight w:val="90"/>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madres</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rPr>
          <w:trHeight w:val="312"/>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Adolescentes sin perspectivas educativas y laborales</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rPr>
          <w:trHeight w:val="675"/>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Uso y abuso de sustancias psicoactivas</w:t>
            </w:r>
          </w:p>
        </w:tc>
        <w:tc>
          <w:tcPr>
            <w:tcW w:w="4134"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Expulsión del sistema educativo formal.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Falta de integración positiva en un grupo de apoyo (comunitario, por ejemplo).</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 Falta de una persona adulta de referencia. </w:t>
            </w:r>
          </w:p>
        </w:tc>
        <w:tc>
          <w:tcPr>
            <w:tcW w:w="2371" w:type="dxa"/>
            <w:vMerge w:val="restart"/>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xml:space="preserve">- Derecho al desarrollo </w:t>
            </w:r>
            <w:r>
              <w:rPr>
                <w:rFonts w:ascii="Arial" w:hAnsi="Arial" w:cs="Arial"/>
                <w:sz w:val="20"/>
                <w:lang w:val="es-CR"/>
              </w:rPr>
              <w:t>integral</w:t>
            </w:r>
          </w:p>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 Derecho a la cultura, juego</w:t>
            </w:r>
            <w:r>
              <w:rPr>
                <w:rFonts w:ascii="Arial" w:hAnsi="Arial" w:cs="Arial"/>
                <w:sz w:val="20"/>
                <w:lang w:val="es-CR"/>
              </w:rPr>
              <w:t>, deporte</w:t>
            </w:r>
            <w:r w:rsidRPr="0078582A">
              <w:rPr>
                <w:rFonts w:ascii="Arial" w:hAnsi="Arial" w:cs="Arial"/>
                <w:sz w:val="20"/>
                <w:lang w:val="es-CR"/>
              </w:rPr>
              <w:t xml:space="preserve"> y recreación</w:t>
            </w:r>
          </w:p>
        </w:tc>
      </w:tr>
      <w:tr w:rsidR="003F7D67" w:rsidRPr="0078582A" w:rsidTr="006D5751">
        <w:trPr>
          <w:trHeight w:val="675"/>
        </w:trPr>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Víctimas/victimarios de distintos tipos de violencia y abuso</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r w:rsidR="003F7D67" w:rsidRPr="0078582A" w:rsidTr="006D5751">
        <w:tc>
          <w:tcPr>
            <w:tcW w:w="2304" w:type="dxa"/>
          </w:tcPr>
          <w:p w:rsidR="003F7D67" w:rsidRPr="0078582A" w:rsidRDefault="003F7D67" w:rsidP="006D5751">
            <w:pPr>
              <w:spacing w:before="60" w:after="60" w:line="280" w:lineRule="exact"/>
              <w:rPr>
                <w:rFonts w:ascii="Arial" w:hAnsi="Arial" w:cs="Arial"/>
                <w:sz w:val="20"/>
                <w:lang w:val="es-CR"/>
              </w:rPr>
            </w:pPr>
            <w:r w:rsidRPr="0078582A">
              <w:rPr>
                <w:rFonts w:ascii="Arial" w:hAnsi="Arial" w:cs="Arial"/>
                <w:sz w:val="20"/>
                <w:lang w:val="es-CR"/>
              </w:rPr>
              <w:t>Niñez y adolescencia en condición de calle</w:t>
            </w:r>
          </w:p>
        </w:tc>
        <w:tc>
          <w:tcPr>
            <w:tcW w:w="4134" w:type="dxa"/>
            <w:vMerge/>
          </w:tcPr>
          <w:p w:rsidR="003F7D67" w:rsidRPr="0078582A" w:rsidRDefault="003F7D67" w:rsidP="006D5751">
            <w:pPr>
              <w:spacing w:before="60" w:after="60" w:line="280" w:lineRule="exact"/>
              <w:rPr>
                <w:rFonts w:ascii="Arial" w:hAnsi="Arial" w:cs="Arial"/>
                <w:sz w:val="20"/>
                <w:lang w:val="es-CR"/>
              </w:rPr>
            </w:pPr>
          </w:p>
        </w:tc>
        <w:tc>
          <w:tcPr>
            <w:tcW w:w="2371" w:type="dxa"/>
            <w:vMerge/>
          </w:tcPr>
          <w:p w:rsidR="003F7D67" w:rsidRPr="0078582A" w:rsidRDefault="003F7D67" w:rsidP="006D5751">
            <w:pPr>
              <w:spacing w:before="60" w:after="60" w:line="280" w:lineRule="exact"/>
              <w:rPr>
                <w:rFonts w:ascii="Arial" w:hAnsi="Arial" w:cs="Arial"/>
                <w:sz w:val="20"/>
                <w:lang w:val="es-CR"/>
              </w:rPr>
            </w:pPr>
          </w:p>
        </w:tc>
      </w:tr>
    </w:tbl>
    <w:p w:rsidR="00682F18" w:rsidRPr="003F7D67" w:rsidRDefault="00BE408F" w:rsidP="003F7D67">
      <w:pPr>
        <w:rPr>
          <w:lang w:val="es-CR"/>
        </w:rPr>
      </w:pPr>
    </w:p>
    <w:sectPr w:rsidR="00682F18" w:rsidRPr="003F7D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08F" w:rsidRDefault="00BE408F" w:rsidP="003F7D67">
      <w:pPr>
        <w:spacing w:after="0" w:line="240" w:lineRule="auto"/>
      </w:pPr>
      <w:r>
        <w:separator/>
      </w:r>
    </w:p>
  </w:endnote>
  <w:endnote w:type="continuationSeparator" w:id="0">
    <w:p w:rsidR="00BE408F" w:rsidRDefault="00BE408F" w:rsidP="003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08F" w:rsidRDefault="00BE408F" w:rsidP="003F7D67">
      <w:pPr>
        <w:spacing w:after="0" w:line="240" w:lineRule="auto"/>
      </w:pPr>
      <w:r>
        <w:separator/>
      </w:r>
    </w:p>
  </w:footnote>
  <w:footnote w:type="continuationSeparator" w:id="0">
    <w:p w:rsidR="00BE408F" w:rsidRDefault="00BE408F" w:rsidP="003F7D67">
      <w:pPr>
        <w:spacing w:after="0" w:line="240" w:lineRule="auto"/>
      </w:pPr>
      <w:r>
        <w:continuationSeparator/>
      </w:r>
    </w:p>
  </w:footnote>
  <w:footnote w:id="1">
    <w:p w:rsidR="003F7D67" w:rsidRDefault="003F7D67" w:rsidP="003F7D6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BC513F">
        <w:rPr>
          <w:rFonts w:ascii="Arial" w:hAnsi="Arial" w:cs="Arial"/>
          <w:lang w:val="es-CR"/>
        </w:rPr>
        <w:t>Los párrafos que siguen salen de este documento, con excepción de la información tomada de la ENAHO.</w:t>
      </w:r>
    </w:p>
  </w:footnote>
  <w:footnote w:id="2">
    <w:p w:rsidR="003F7D67" w:rsidRDefault="003F7D67" w:rsidP="003F7D67">
      <w:pPr>
        <w:pStyle w:val="FootnoteText"/>
        <w:jc w:val="both"/>
        <w:rPr>
          <w:rFonts w:ascii="Arial" w:hAnsi="Arial" w:cs="Arial"/>
        </w:rPr>
      </w:pPr>
      <w:r>
        <w:rPr>
          <w:rStyle w:val="FootnoteReference"/>
          <w:rFonts w:ascii="Arial" w:hAnsi="Arial" w:cs="Arial"/>
        </w:rPr>
        <w:footnoteRef/>
      </w:r>
      <w:r>
        <w:rPr>
          <w:rFonts w:ascii="Arial" w:hAnsi="Arial" w:cs="Arial"/>
        </w:rPr>
        <w:t xml:space="preserve"> </w:t>
      </w:r>
      <w:r w:rsidRPr="00BC513F">
        <w:rPr>
          <w:rFonts w:ascii="Arial" w:hAnsi="Arial" w:cs="Arial"/>
          <w:lang w:val="es-CR"/>
        </w:rPr>
        <w:t>Datos tomados del cuadro titulado “Costa Rica: Población de 15 años o más por nivel de instrucción según zona, región de planificación y sexo, julio 2017”, recuperado de: http://www.inec.go.cr/encuestas/encuesta-nacional-de-hogares.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F7B3"/>
    <w:multiLevelType w:val="singleLevel"/>
    <w:tmpl w:val="59BEF7B3"/>
    <w:lvl w:ilvl="0">
      <w:start w:val="1"/>
      <w:numFmt w:val="bullet"/>
      <w:lvlText w:val="‑"/>
      <w:lvlJc w:val="left"/>
      <w:pPr>
        <w:ind w:left="420" w:hanging="420"/>
      </w:pPr>
      <w:rPr>
        <w:rFonts w:ascii="Times New Roman" w:hAnsi="Times New Roman" w:cs="Times New Roman" w:hint="default"/>
      </w:rPr>
    </w:lvl>
  </w:abstractNum>
  <w:abstractNum w:abstractNumId="1" w15:restartNumberingAfterBreak="0">
    <w:nsid w:val="59CEFB5E"/>
    <w:multiLevelType w:val="multilevel"/>
    <w:tmpl w:val="59CEFB5E"/>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420"/>
        </w:tabs>
        <w:ind w:left="42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59E3F691"/>
    <w:multiLevelType w:val="singleLevel"/>
    <w:tmpl w:val="59E3F691"/>
    <w:lvl w:ilvl="0">
      <w:start w:val="1"/>
      <w:numFmt w:val="bullet"/>
      <w:lvlText w:val="­"/>
      <w:lvlJc w:val="left"/>
      <w:pPr>
        <w:ind w:left="420" w:hanging="420"/>
      </w:pPr>
      <w:rPr>
        <w:rFonts w:ascii="Wingdings 3" w:hAnsi="Wingdings 3" w:cs="Wingdings 3" w:hint="default"/>
      </w:rPr>
    </w:lvl>
  </w:abstractNum>
  <w:abstractNum w:abstractNumId="3" w15:restartNumberingAfterBreak="0">
    <w:nsid w:val="59F761A9"/>
    <w:multiLevelType w:val="singleLevel"/>
    <w:tmpl w:val="59F761A9"/>
    <w:lvl w:ilvl="0">
      <w:start w:val="1"/>
      <w:numFmt w:val="decimal"/>
      <w:lvlText w:val="%1)"/>
      <w:lvlJc w:val="left"/>
      <w:pPr>
        <w:ind w:left="425" w:hanging="425"/>
      </w:pPr>
      <w:rPr>
        <w:rFonts w:hint="default"/>
      </w:rPr>
    </w:lvl>
  </w:abstractNum>
  <w:abstractNum w:abstractNumId="4" w15:restartNumberingAfterBreak="0">
    <w:nsid w:val="59FF2FDE"/>
    <w:multiLevelType w:val="singleLevel"/>
    <w:tmpl w:val="59FF2FDE"/>
    <w:lvl w:ilvl="0">
      <w:start w:val="1"/>
      <w:numFmt w:val="lowerLetter"/>
      <w:lvlText w:val="%1."/>
      <w:lvlJc w:val="left"/>
      <w:pPr>
        <w:ind w:left="425" w:hanging="425"/>
      </w:pPr>
      <w:rPr>
        <w:rFonts w:hint="default"/>
      </w:rPr>
    </w:lvl>
  </w:abstractNum>
  <w:abstractNum w:abstractNumId="5" w15:restartNumberingAfterBreak="0">
    <w:nsid w:val="59FF3003"/>
    <w:multiLevelType w:val="singleLevel"/>
    <w:tmpl w:val="59FF3003"/>
    <w:lvl w:ilvl="0">
      <w:start w:val="1"/>
      <w:numFmt w:val="lowerLetter"/>
      <w:lvlText w:val="%1."/>
      <w:lvlJc w:val="left"/>
      <w:pPr>
        <w:ind w:left="425" w:hanging="425"/>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67"/>
    <w:rsid w:val="001C2C58"/>
    <w:rsid w:val="003E1184"/>
    <w:rsid w:val="003F7D67"/>
    <w:rsid w:val="006D2812"/>
    <w:rsid w:val="00880A7E"/>
    <w:rsid w:val="00AF2A88"/>
    <w:rsid w:val="00B16447"/>
    <w:rsid w:val="00BE408F"/>
    <w:rsid w:val="00C262A5"/>
    <w:rsid w:val="00C359DD"/>
    <w:rsid w:val="00E00A4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BA9B"/>
  <w15:chartTrackingRefBased/>
  <w15:docId w15:val="{2EC4C307-88C6-4069-ABB7-282970CB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D67"/>
    <w:rPr>
      <w:rFonts w:ascii="Times New Roman" w:eastAsia="Times New Roman" w:hAnsi="Times New Roman" w:cs="Times New Roman"/>
      <w:sz w:val="24"/>
      <w:lang w:val="es-ES" w:eastAsia="es-ES"/>
    </w:rPr>
  </w:style>
  <w:style w:type="paragraph" w:styleId="Heading1">
    <w:name w:val="heading 1"/>
    <w:basedOn w:val="Normal"/>
    <w:next w:val="Normal"/>
    <w:link w:val="Heading1Char"/>
    <w:qFormat/>
    <w:rsid w:val="003F7D67"/>
    <w:pPr>
      <w:keepNext/>
      <w:keepLines/>
      <w:spacing w:before="340" w:after="330" w:line="578" w:lineRule="auto"/>
      <w:outlineLvl w:val="0"/>
    </w:pPr>
    <w:rPr>
      <w:b/>
      <w:bCs/>
      <w:kern w:val="44"/>
      <w:sz w:val="44"/>
      <w:szCs w:val="44"/>
    </w:rPr>
  </w:style>
  <w:style w:type="paragraph" w:styleId="Heading2">
    <w:name w:val="heading 2"/>
    <w:next w:val="Normal"/>
    <w:link w:val="Heading2Char"/>
    <w:unhideWhenUsed/>
    <w:qFormat/>
    <w:rsid w:val="003F7D67"/>
    <w:pPr>
      <w:spacing w:beforeAutospacing="1"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D67"/>
    <w:rPr>
      <w:rFonts w:ascii="Times New Roman" w:eastAsia="Times New Roman" w:hAnsi="Times New Roman" w:cs="Times New Roman"/>
      <w:b/>
      <w:bCs/>
      <w:kern w:val="44"/>
      <w:sz w:val="44"/>
      <w:szCs w:val="44"/>
      <w:lang w:val="es-ES" w:eastAsia="es-ES"/>
    </w:rPr>
  </w:style>
  <w:style w:type="character" w:customStyle="1" w:styleId="Heading2Char">
    <w:name w:val="Heading 2 Char"/>
    <w:basedOn w:val="DefaultParagraphFont"/>
    <w:link w:val="Heading2"/>
    <w:rsid w:val="003F7D67"/>
    <w:rPr>
      <w:rFonts w:ascii="SimSun" w:eastAsia="SimSun" w:hAnsi="SimSun" w:cs="Times New Roman"/>
      <w:b/>
      <w:bCs/>
      <w:sz w:val="36"/>
      <w:szCs w:val="36"/>
      <w:lang w:val="en-US" w:eastAsia="zh-CN"/>
    </w:rPr>
  </w:style>
  <w:style w:type="paragraph" w:styleId="CommentText">
    <w:name w:val="annotation text"/>
    <w:basedOn w:val="Normal"/>
    <w:link w:val="CommentTextChar"/>
    <w:qFormat/>
    <w:rsid w:val="003F7D67"/>
  </w:style>
  <w:style w:type="character" w:customStyle="1" w:styleId="CommentTextChar">
    <w:name w:val="Comment Text Char"/>
    <w:basedOn w:val="DefaultParagraphFont"/>
    <w:link w:val="CommentText"/>
    <w:qFormat/>
    <w:rsid w:val="003F7D67"/>
    <w:rPr>
      <w:rFonts w:ascii="Times New Roman" w:eastAsia="Times New Roman" w:hAnsi="Times New Roman" w:cs="Times New Roman"/>
      <w:sz w:val="24"/>
      <w:lang w:val="es-ES" w:eastAsia="es-ES"/>
    </w:rPr>
  </w:style>
  <w:style w:type="paragraph" w:styleId="FootnoteText">
    <w:name w:val="footnote text"/>
    <w:basedOn w:val="Normal"/>
    <w:link w:val="FootnoteTextChar"/>
    <w:qFormat/>
    <w:rsid w:val="003F7D67"/>
    <w:pPr>
      <w:snapToGrid w:val="0"/>
    </w:pPr>
    <w:rPr>
      <w:sz w:val="18"/>
      <w:szCs w:val="18"/>
    </w:rPr>
  </w:style>
  <w:style w:type="character" w:customStyle="1" w:styleId="FootnoteTextChar">
    <w:name w:val="Footnote Text Char"/>
    <w:basedOn w:val="DefaultParagraphFont"/>
    <w:link w:val="FootnoteText"/>
    <w:rsid w:val="003F7D67"/>
    <w:rPr>
      <w:rFonts w:ascii="Times New Roman" w:eastAsia="Times New Roman" w:hAnsi="Times New Roman" w:cs="Times New Roman"/>
      <w:sz w:val="18"/>
      <w:szCs w:val="18"/>
      <w:lang w:val="es-ES" w:eastAsia="es-ES"/>
    </w:rPr>
  </w:style>
  <w:style w:type="paragraph" w:styleId="NormalWeb">
    <w:name w:val="Normal (Web)"/>
    <w:basedOn w:val="Normal"/>
    <w:qFormat/>
    <w:rsid w:val="003F7D67"/>
    <w:pPr>
      <w:spacing w:before="100" w:beforeAutospacing="1" w:after="100" w:afterAutospacing="1"/>
    </w:pPr>
    <w:rPr>
      <w:lang w:val="es-MX" w:eastAsia="es-MX"/>
    </w:rPr>
  </w:style>
  <w:style w:type="character" w:styleId="FootnoteReference">
    <w:name w:val="footnote reference"/>
    <w:basedOn w:val="DefaultParagraphFont"/>
    <w:qFormat/>
    <w:rsid w:val="003F7D67"/>
    <w:rPr>
      <w:vertAlign w:val="superscript"/>
    </w:rPr>
  </w:style>
  <w:style w:type="character" w:styleId="Hyperlink">
    <w:name w:val="Hyperlink"/>
    <w:basedOn w:val="DefaultParagraphFont"/>
    <w:qFormat/>
    <w:rsid w:val="003F7D67"/>
    <w:rPr>
      <w:color w:val="0000FF"/>
      <w:u w:val="single"/>
    </w:rPr>
  </w:style>
  <w:style w:type="table" w:styleId="TableGrid">
    <w:name w:val="Table Grid"/>
    <w:basedOn w:val="TableNormal"/>
    <w:qFormat/>
    <w:rsid w:val="003F7D67"/>
    <w:rPr>
      <w:rFonts w:ascii="Times New Roman" w:eastAsia="SimSu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qFormat/>
    <w:rsid w:val="003F7D67"/>
    <w:rPr>
      <w:rFonts w:cs="Myriad Pro"/>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cef.org/costarica/agenda_naciona_na_2015(1).pdf" TargetMode="External"/><Relationship Id="rId18" Type="http://schemas.openxmlformats.org/officeDocument/2006/relationships/hyperlink" Target="https://www.unicef.org/costarica/docs/cr_pub_Politica_NNA_CR.pdf" TargetMode="External"/><Relationship Id="rId26" Type="http://schemas.openxmlformats.org/officeDocument/2006/relationships/hyperlink" Target="https://www.unicef.org/costarica/agenda_naciona_na_2015(1).pdf" TargetMode="External"/><Relationship Id="rId39" Type="http://schemas.openxmlformats.org/officeDocument/2006/relationships/hyperlink" Target="http://www.mcj.go.cr/" TargetMode="External"/><Relationship Id="rId21" Type="http://schemas.openxmlformats.org/officeDocument/2006/relationships/hyperlink" Target="http://www.ohchr.org/SP/ProfessionalInterest/Pages/CRC.aspx" TargetMode="External"/><Relationship Id="rId34" Type="http://schemas.openxmlformats.org/officeDocument/2006/relationships/hyperlink" Target="https://www.unicef.org/costarica/docs/cr_pub_Politica_NNA_CR.pdf" TargetMode="External"/><Relationship Id="rId42" Type="http://schemas.openxmlformats.org/officeDocument/2006/relationships/hyperlink" Target="https://www.unicef.org/spanish/earlychildhood/index_newdirection.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icef.org/costarica/ESTADO_DERECHOS_DE_NNA2015.pdf" TargetMode="External"/><Relationship Id="rId29" Type="http://schemas.openxmlformats.org/officeDocument/2006/relationships/hyperlink" Target="http://www.oas.org/dil/esp/codigo_ninez_adolescencia_costa_ric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i.go.cr/images/Plan%20Prevencion%20Violencia.pdf" TargetMode="External"/><Relationship Id="rId24" Type="http://schemas.openxmlformats.org/officeDocument/2006/relationships/hyperlink" Target="http://www.ohchr.org/SP/ProfessionalInterest/Pages/CRC.aspx" TargetMode="External"/><Relationship Id="rId32" Type="http://schemas.openxmlformats.org/officeDocument/2006/relationships/hyperlink" Target="http://www.ohchr.org/SP/ProfessionalInterest/Pages/CRC.aspx" TargetMode="External"/><Relationship Id="rId37" Type="http://schemas.openxmlformats.org/officeDocument/2006/relationships/hyperlink" Target="http://www.oas.org/dil/esp/codigo_ninez_adolescencia_costa_rica.pdf" TargetMode="External"/><Relationship Id="rId40" Type="http://schemas.openxmlformats.org/officeDocument/2006/relationships/hyperlink" Target="http://www.icoder.go.cr/"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cef.org/costarica/docs/cr_pub_Politica_NNA_CR.pdf" TargetMode="External"/><Relationship Id="rId23" Type="http://schemas.openxmlformats.org/officeDocument/2006/relationships/hyperlink" Target="https://www.unicef.org/costarica/docs/cr_pub_Politica_NNA_CR.pdf" TargetMode="External"/><Relationship Id="rId28" Type="http://schemas.openxmlformats.org/officeDocument/2006/relationships/hyperlink" Target="http://www.ohchr.org/SP/ProfessionalInterest/Pages/CRC.aspx" TargetMode="External"/><Relationship Id="rId36" Type="http://schemas.openxmlformats.org/officeDocument/2006/relationships/hyperlink" Target="http://www.ohchr.org/SP/ProfessionalInterest/Pages/CRC.aspx" TargetMode="External"/><Relationship Id="rId10" Type="http://schemas.openxmlformats.org/officeDocument/2006/relationships/hyperlink" Target="https://www.unicef.org/costarica/docs/cr_pub_Politica_NNA_CR.pdf" TargetMode="External"/><Relationship Id="rId19" Type="http://schemas.openxmlformats.org/officeDocument/2006/relationships/hyperlink" Target="http://www.ohchr.org/SP/ProfessionalInterest/Pages/CRC.aspx" TargetMode="External"/><Relationship Id="rId31" Type="http://schemas.openxmlformats.org/officeDocument/2006/relationships/hyperlink" Target="http://www.inec.go.cr/encuestas/encuesta-nacional-de-hogar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costarica/docs/cr_pub_Politica_NNA_CR.pdf" TargetMode="External"/><Relationship Id="rId14" Type="http://schemas.openxmlformats.org/officeDocument/2006/relationships/hyperlink" Target="http://www.pani.go.cr/images/Plan%20Prevencion%20Violencia.pdf" TargetMode="External"/><Relationship Id="rId22" Type="http://schemas.openxmlformats.org/officeDocument/2006/relationships/hyperlink" Target="http://www.ohchr.org/SP/ProfessionalInterest/Pages/CRC.aspx" TargetMode="External"/><Relationship Id="rId27" Type="http://schemas.openxmlformats.org/officeDocument/2006/relationships/hyperlink" Target="https://www.unicef.org/costarica/docs/cr_pub_Politica_NNA_CR.pdf" TargetMode="External"/><Relationship Id="rId30" Type="http://schemas.openxmlformats.org/officeDocument/2006/relationships/hyperlink" Target="https://www.unicef.org/costarica/docs/cr_pub_Politica_NNA_CR.pdf" TargetMode="External"/><Relationship Id="rId35" Type="http://schemas.openxmlformats.org/officeDocument/2006/relationships/hyperlink" Target="http://www.pani.go.cr/images/Plan%20Prevencion%20Violencia.pdf" TargetMode="External"/><Relationship Id="rId43" Type="http://schemas.openxmlformats.org/officeDocument/2006/relationships/hyperlink" Target="https://www.unicef.org/costarica/agenda_naciona_na_2015(1).pdf" TargetMode="External"/><Relationship Id="rId8" Type="http://schemas.openxmlformats.org/officeDocument/2006/relationships/hyperlink" Target="http://www.oas.org/dil/esp/codigo_ninez_adolescencia_costa_rica.pdf" TargetMode="External"/><Relationship Id="rId3" Type="http://schemas.openxmlformats.org/officeDocument/2006/relationships/settings" Target="settings.xml"/><Relationship Id="rId12" Type="http://schemas.openxmlformats.org/officeDocument/2006/relationships/hyperlink" Target="http://www.pani.go.cr/images/Plan%20Prevencion%20Violencia.pdf" TargetMode="External"/><Relationship Id="rId17" Type="http://schemas.openxmlformats.org/officeDocument/2006/relationships/hyperlink" Target="http://www.pani.go.cr/images/Plan%20Prevencion%20Violencia.pdf" TargetMode="External"/><Relationship Id="rId25" Type="http://schemas.openxmlformats.org/officeDocument/2006/relationships/hyperlink" Target="http://www.oas.org/dil/esp/codigo_ninez_adolescencia_costa_rica.pdf" TargetMode="External"/><Relationship Id="rId33" Type="http://schemas.openxmlformats.org/officeDocument/2006/relationships/hyperlink" Target="http://www.oas.org/dil/esp/codigo_ninez_adolescencia_costa_rica.pdf" TargetMode="External"/><Relationship Id="rId38" Type="http://schemas.openxmlformats.org/officeDocument/2006/relationships/hyperlink" Target="https://www.unicef.org/costarica/docs/cr_pub_Politica_NNA_CR.pdf" TargetMode="External"/><Relationship Id="rId20" Type="http://schemas.openxmlformats.org/officeDocument/2006/relationships/hyperlink" Target="https://www.unicef.org/spanish/crc/index_30177.html" TargetMode="External"/><Relationship Id="rId41" Type="http://schemas.openxmlformats.org/officeDocument/2006/relationships/hyperlink" Target="https://www.unicef.o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5310</Words>
  <Characters>30271</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Araya</dc:creator>
  <cp:keywords/>
  <dc:description/>
  <cp:lastModifiedBy>ngf</cp:lastModifiedBy>
  <cp:revision>2</cp:revision>
  <dcterms:created xsi:type="dcterms:W3CDTF">2020-07-17T01:08:00Z</dcterms:created>
  <dcterms:modified xsi:type="dcterms:W3CDTF">2020-07-17T01:08:00Z</dcterms:modified>
</cp:coreProperties>
</file>